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683CFD2B" w:rsidR="00992E96" w:rsidRPr="00C51FA0" w:rsidRDefault="00F67414" w:rsidP="0B50786C">
      <w:pPr>
        <w:pStyle w:val="LGAItemNoHeading"/>
        <w:spacing w:before="240"/>
        <w:jc w:val="both"/>
        <w:rPr>
          <w:rFonts w:ascii="Arial" w:hAnsi="Arial" w:cs="Arial"/>
          <w:sz w:val="28"/>
          <w:szCs w:val="28"/>
          <w:u w:val="single"/>
        </w:rPr>
      </w:pPr>
      <w:r w:rsidRPr="00C51FA0">
        <w:rPr>
          <w:rFonts w:ascii="Arial" w:hAnsi="Arial" w:cs="Arial"/>
          <w:sz w:val="28"/>
          <w:szCs w:val="28"/>
          <w:u w:val="single"/>
        </w:rPr>
        <w:t xml:space="preserve">Appendix A – Local </w:t>
      </w:r>
      <w:r w:rsidR="0035643B" w:rsidRPr="00C51FA0">
        <w:rPr>
          <w:rFonts w:ascii="Arial" w:hAnsi="Arial" w:cs="Arial"/>
          <w:sz w:val="28"/>
          <w:szCs w:val="28"/>
          <w:u w:val="single"/>
        </w:rPr>
        <w:t>Government Finance</w:t>
      </w:r>
      <w:r w:rsidR="00793A69" w:rsidRPr="00C51FA0">
        <w:rPr>
          <w:rFonts w:ascii="Arial" w:hAnsi="Arial" w:cs="Arial"/>
          <w:sz w:val="28"/>
          <w:szCs w:val="28"/>
          <w:u w:val="single"/>
        </w:rPr>
        <w:t xml:space="preserve">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4FA57D77" w:rsidR="00992E96" w:rsidRDefault="001A4541" w:rsidP="0B50786C">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05F9F674"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794647">
        <w:rPr>
          <w:rFonts w:ascii="Arial" w:hAnsi="Arial" w:cs="Arial"/>
        </w:rPr>
        <w:t>comment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194B7A4F" w:rsidR="00992E96" w:rsidRPr="00765850" w:rsidRDefault="00AC367C" w:rsidP="000667AB">
      <w:pPr>
        <w:pStyle w:val="MainText"/>
        <w:rPr>
          <w:rFonts w:ascii="Arial" w:hAnsi="Arial" w:cs="Arial"/>
        </w:rPr>
      </w:pPr>
      <w:r w:rsidRPr="00AC367C">
        <w:rPr>
          <w:rFonts w:ascii="Arial" w:hAnsi="Arial" w:cs="Arial"/>
        </w:rPr>
        <w:t xml:space="preserve">This report updates members on </w:t>
      </w:r>
      <w:r w:rsidR="00396602">
        <w:rPr>
          <w:rFonts w:ascii="Arial" w:hAnsi="Arial" w:cs="Arial"/>
        </w:rPr>
        <w:t xml:space="preserve">the </w:t>
      </w:r>
      <w:r w:rsidR="000C09D7">
        <w:rPr>
          <w:rFonts w:ascii="Arial" w:hAnsi="Arial" w:cs="Arial"/>
        </w:rPr>
        <w:t xml:space="preserve">2019/20 </w:t>
      </w:r>
      <w:r w:rsidR="000667AB" w:rsidRPr="000667AB">
        <w:rPr>
          <w:rFonts w:ascii="Arial" w:hAnsi="Arial" w:cs="Arial"/>
        </w:rPr>
        <w:t>Local Government Finance Settlement</w:t>
      </w:r>
      <w:r w:rsidR="000C09D7">
        <w:rPr>
          <w:rFonts w:ascii="Arial" w:hAnsi="Arial" w:cs="Arial"/>
        </w:rPr>
        <w:t>, f</w:t>
      </w:r>
      <w:r w:rsidR="000667AB">
        <w:rPr>
          <w:rFonts w:ascii="Arial" w:hAnsi="Arial" w:cs="Arial"/>
        </w:rPr>
        <w:t xml:space="preserve">urther Business Rates Retention </w:t>
      </w:r>
      <w:r w:rsidR="000C09D7">
        <w:rPr>
          <w:rFonts w:ascii="Arial" w:hAnsi="Arial" w:cs="Arial"/>
        </w:rPr>
        <w:t xml:space="preserve">and </w:t>
      </w:r>
      <w:r w:rsidR="000667AB">
        <w:rPr>
          <w:rFonts w:ascii="Arial" w:hAnsi="Arial" w:cs="Arial"/>
        </w:rPr>
        <w:t>the Fair Funding Review</w:t>
      </w:r>
      <w:r w:rsidR="000C09D7">
        <w:rPr>
          <w:rFonts w:ascii="Arial" w:hAnsi="Arial" w:cs="Arial"/>
        </w:rPr>
        <w:t>,</w:t>
      </w:r>
      <w:r w:rsidR="000667AB" w:rsidRPr="000667AB">
        <w:rPr>
          <w:rFonts w:ascii="Arial" w:hAnsi="Arial" w:cs="Arial"/>
        </w:rPr>
        <w:t xml:space="preserve"> </w:t>
      </w:r>
      <w:r w:rsidR="000C09D7">
        <w:rPr>
          <w:rFonts w:ascii="Arial" w:hAnsi="Arial" w:cs="Arial"/>
        </w:rPr>
        <w:t xml:space="preserve">as </w:t>
      </w:r>
      <w:r w:rsidR="0035643B">
        <w:rPr>
          <w:rFonts w:ascii="Arial" w:hAnsi="Arial" w:cs="Arial"/>
        </w:rPr>
        <w:t>well as other local government finance items</w:t>
      </w:r>
      <w:r w:rsidRPr="00AC367C">
        <w:rPr>
          <w:rFonts w:ascii="Arial" w:hAnsi="Arial" w:cs="Arial"/>
        </w:rPr>
        <w:t>.</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B50786C">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21EC98E2" w14:textId="06C942DA" w:rsidR="00793A69" w:rsidRDefault="0B50786C" w:rsidP="0B50786C">
            <w:pPr>
              <w:pStyle w:val="MainText"/>
              <w:spacing w:line="240" w:lineRule="auto"/>
              <w:jc w:val="both"/>
              <w:rPr>
                <w:rFonts w:ascii="Arial" w:hAnsi="Arial" w:cs="Arial"/>
              </w:rPr>
            </w:pPr>
            <w:r w:rsidRPr="0B50786C">
              <w:rPr>
                <w:rFonts w:ascii="Arial" w:hAnsi="Arial" w:cs="Arial"/>
              </w:rPr>
              <w:t>That members</w:t>
            </w:r>
            <w:r w:rsidR="00D91E1D">
              <w:rPr>
                <w:rFonts w:ascii="Arial" w:hAnsi="Arial" w:cs="Arial"/>
              </w:rPr>
              <w:t xml:space="preserve"> of </w:t>
            </w:r>
            <w:r w:rsidR="00E81B2D">
              <w:rPr>
                <w:rFonts w:ascii="Arial" w:hAnsi="Arial" w:cs="Arial"/>
              </w:rPr>
              <w:t>Resources Board note this update.</w:t>
            </w:r>
          </w:p>
          <w:p w14:paraId="011708E6" w14:textId="77777777" w:rsidR="002917B4" w:rsidRPr="0021114E" w:rsidRDefault="002917B4" w:rsidP="002917B4">
            <w:pPr>
              <w:pStyle w:val="MainText"/>
              <w:spacing w:line="240" w:lineRule="auto"/>
              <w:ind w:left="720"/>
              <w:jc w:val="both"/>
              <w:rPr>
                <w:rFonts w:ascii="Arial" w:hAnsi="Arial" w:cs="Arial"/>
              </w:rPr>
            </w:pP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0B50786C" w:rsidP="0B50786C">
            <w:pPr>
              <w:pStyle w:val="MainText"/>
              <w:spacing w:line="240" w:lineRule="auto"/>
              <w:jc w:val="both"/>
              <w:rPr>
                <w:rFonts w:ascii="Arial" w:hAnsi="Arial" w:cs="Arial"/>
                <w:b/>
                <w:bCs/>
              </w:rPr>
            </w:pPr>
            <w:r w:rsidRPr="0B50786C">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CCE5E61" w14:textId="04505200" w:rsidR="00D91E1D" w:rsidRPr="0021114E" w:rsidRDefault="00D91E1D" w:rsidP="007977F7">
            <w:pPr>
              <w:pStyle w:val="MainText"/>
              <w:spacing w:line="240" w:lineRule="auto"/>
              <w:jc w:val="both"/>
              <w:rPr>
                <w:rFonts w:ascii="Arial" w:hAnsi="Arial" w:cs="Arial"/>
                <w:b/>
                <w:szCs w:val="22"/>
              </w:rPr>
            </w:pPr>
            <w:r>
              <w:rPr>
                <w:rFonts w:ascii="Arial" w:hAnsi="Arial" w:cs="Arial"/>
                <w:szCs w:val="22"/>
              </w:rPr>
              <w:t xml:space="preserve">Officers to proceed with delivery of the LGA work programme on </w:t>
            </w:r>
            <w:r w:rsidR="0035643B">
              <w:rPr>
                <w:rFonts w:ascii="Arial" w:hAnsi="Arial" w:cs="Arial"/>
                <w:szCs w:val="22"/>
              </w:rPr>
              <w:t>matters set out in the paper</w:t>
            </w:r>
            <w:r w:rsidR="00D0001F">
              <w:rPr>
                <w:rFonts w:ascii="Arial" w:hAnsi="Arial" w:cs="Arial"/>
                <w:szCs w:val="22"/>
              </w:rPr>
              <w:t xml:space="preserve"> as recommended by the Board</w:t>
            </w:r>
            <w:r>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B50786C">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01A694EB"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Nicola Morton</w:t>
            </w:r>
          </w:p>
        </w:tc>
      </w:tr>
      <w:tr w:rsidR="00992E96" w:rsidRPr="00B27F61" w14:paraId="3E832280" w14:textId="77777777" w:rsidTr="0B50786C">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6F32E820"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Head of Local Government Finance</w:t>
            </w:r>
          </w:p>
        </w:tc>
      </w:tr>
      <w:tr w:rsidR="00992E96" w:rsidRPr="00B27F61" w14:paraId="3E832283" w14:textId="77777777" w:rsidTr="0B50786C">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19B10506" w:rsidR="00992E96" w:rsidRPr="00B27F61" w:rsidRDefault="00E81B2D" w:rsidP="0B50786C">
            <w:pPr>
              <w:pStyle w:val="MainText"/>
              <w:spacing w:before="120" w:line="240" w:lineRule="auto"/>
              <w:jc w:val="both"/>
              <w:rPr>
                <w:rFonts w:ascii="Arial" w:hAnsi="Arial" w:cs="Arial"/>
                <w:sz w:val="22"/>
                <w:szCs w:val="22"/>
              </w:rPr>
            </w:pPr>
            <w:r>
              <w:rPr>
                <w:rFonts w:ascii="Arial" w:hAnsi="Arial" w:cs="Arial"/>
                <w:sz w:val="22"/>
                <w:szCs w:val="22"/>
              </w:rPr>
              <w:t>020 7664 3197</w:t>
            </w:r>
          </w:p>
        </w:tc>
      </w:tr>
      <w:tr w:rsidR="00992E96" w:rsidRPr="00B27F61" w14:paraId="3E832286" w14:textId="77777777" w:rsidTr="0B50786C">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470F1F8B" w:rsidR="00992E96" w:rsidRPr="00E81B2D" w:rsidRDefault="008C6AD0" w:rsidP="00E81B2D">
            <w:pPr>
              <w:pStyle w:val="MainText"/>
              <w:spacing w:before="120" w:line="240" w:lineRule="auto"/>
              <w:jc w:val="both"/>
              <w:rPr>
                <w:rFonts w:ascii="Arial" w:hAnsi="Arial" w:cs="Arial"/>
                <w:sz w:val="22"/>
                <w:szCs w:val="22"/>
              </w:rPr>
            </w:pPr>
            <w:hyperlink r:id="rId11" w:history="1">
              <w:r w:rsidR="00E81B2D" w:rsidRPr="00E81B2D">
                <w:rPr>
                  <w:rStyle w:val="Hyperlink"/>
                  <w:rFonts w:ascii="Arial" w:hAnsi="Arial" w:cs="Arial"/>
                  <w:sz w:val="22"/>
                  <w:szCs w:val="22"/>
                </w:rPr>
                <w:t>Nicola.morton@local.gov.uk</w:t>
              </w:r>
            </w:hyperlink>
            <w:r w:rsidR="00E81B2D" w:rsidRPr="00E81B2D">
              <w:rPr>
                <w:rFonts w:ascii="Arial" w:hAnsi="Arial" w:cs="Arial"/>
                <w:sz w:val="22"/>
                <w:szCs w:val="22"/>
              </w:rPr>
              <w:t xml:space="preserve"> </w:t>
            </w:r>
            <w:r w:rsidR="002048CA" w:rsidRPr="00E81B2D">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6092D43" w14:textId="1A0291D4" w:rsidR="00765850" w:rsidRPr="00C51FA0" w:rsidRDefault="00C51FA0" w:rsidP="00376E38">
      <w:pPr>
        <w:pStyle w:val="LGAItemNoHeading"/>
        <w:spacing w:before="240"/>
        <w:rPr>
          <w:rFonts w:ascii="Arial" w:hAnsi="Arial" w:cs="Arial"/>
          <w:b w:val="0"/>
          <w:sz w:val="28"/>
          <w:szCs w:val="22"/>
          <w:u w:val="single"/>
        </w:rPr>
      </w:pPr>
      <w:bookmarkStart w:id="1" w:name="MainHeading2"/>
      <w:bookmarkEnd w:id="1"/>
      <w:r w:rsidRPr="00C51FA0">
        <w:rPr>
          <w:rFonts w:ascii="Arial" w:hAnsi="Arial" w:cs="Arial"/>
          <w:sz w:val="28"/>
          <w:szCs w:val="28"/>
          <w:u w:val="single"/>
        </w:rPr>
        <w:lastRenderedPageBreak/>
        <w:t xml:space="preserve">Appendix A – Local </w:t>
      </w:r>
      <w:r w:rsidR="00376E38" w:rsidRPr="00C51FA0">
        <w:rPr>
          <w:rFonts w:ascii="Arial" w:hAnsi="Arial" w:cs="Arial"/>
          <w:sz w:val="28"/>
          <w:szCs w:val="28"/>
          <w:u w:val="single"/>
        </w:rPr>
        <w:t>Government Finance Update</w:t>
      </w:r>
    </w:p>
    <w:p w14:paraId="6CE9F38A" w14:textId="62F5D26A" w:rsidR="00765850" w:rsidRPr="00F11E80" w:rsidRDefault="0B50786C" w:rsidP="00720BE8">
      <w:pPr>
        <w:rPr>
          <w:rFonts w:ascii="Arial" w:hAnsi="Arial" w:cs="Arial"/>
          <w:b/>
          <w:bCs/>
        </w:rPr>
      </w:pPr>
      <w:r w:rsidRPr="00F11E80">
        <w:rPr>
          <w:rFonts w:ascii="Arial" w:hAnsi="Arial" w:cs="Arial"/>
          <w:b/>
          <w:bCs/>
        </w:rPr>
        <w:t>Introduction</w:t>
      </w:r>
    </w:p>
    <w:p w14:paraId="605ECBCC" w14:textId="77777777" w:rsidR="00765850" w:rsidRPr="00F11E80" w:rsidRDefault="00765850" w:rsidP="00720BE8">
      <w:pPr>
        <w:rPr>
          <w:rFonts w:ascii="Arial" w:hAnsi="Arial" w:cs="Arial"/>
          <w:szCs w:val="22"/>
        </w:rPr>
      </w:pPr>
    </w:p>
    <w:p w14:paraId="2F9FB104" w14:textId="52852889" w:rsidR="000667AB" w:rsidRPr="00F11E80" w:rsidRDefault="0035643B" w:rsidP="000667AB">
      <w:pPr>
        <w:pStyle w:val="MainText"/>
        <w:numPr>
          <w:ilvl w:val="0"/>
          <w:numId w:val="1"/>
        </w:numPr>
        <w:spacing w:line="240" w:lineRule="auto"/>
        <w:rPr>
          <w:rFonts w:ascii="Arial" w:hAnsi="Arial" w:cs="Arial"/>
        </w:rPr>
      </w:pPr>
      <w:r w:rsidRPr="00F11E80">
        <w:rPr>
          <w:rFonts w:ascii="Arial" w:hAnsi="Arial" w:cs="Arial"/>
        </w:rPr>
        <w:t xml:space="preserve">This report updates members on </w:t>
      </w:r>
      <w:r w:rsidR="000667AB" w:rsidRPr="00F11E80">
        <w:rPr>
          <w:rFonts w:ascii="Arial" w:hAnsi="Arial" w:cs="Arial"/>
        </w:rPr>
        <w:t xml:space="preserve">the </w:t>
      </w:r>
      <w:r w:rsidR="00B73502" w:rsidRPr="00F11E80">
        <w:rPr>
          <w:rFonts w:ascii="Arial" w:hAnsi="Arial" w:cs="Arial"/>
        </w:rPr>
        <w:t xml:space="preserve">2019/20 </w:t>
      </w:r>
      <w:r w:rsidR="000667AB" w:rsidRPr="00F11E80">
        <w:rPr>
          <w:rFonts w:ascii="Arial" w:hAnsi="Arial" w:cs="Arial"/>
        </w:rPr>
        <w:t>Local Gove</w:t>
      </w:r>
      <w:r w:rsidR="00B73502" w:rsidRPr="00F11E80">
        <w:rPr>
          <w:rFonts w:ascii="Arial" w:hAnsi="Arial" w:cs="Arial"/>
        </w:rPr>
        <w:t>rnment Finance Settlement</w:t>
      </w:r>
      <w:r w:rsidR="000667AB" w:rsidRPr="00F11E80">
        <w:rPr>
          <w:rFonts w:ascii="Arial" w:hAnsi="Arial" w:cs="Arial"/>
        </w:rPr>
        <w:t>; Further Business Rates Retention</w:t>
      </w:r>
      <w:r w:rsidR="005815A8" w:rsidRPr="00F11E80">
        <w:rPr>
          <w:rFonts w:ascii="Arial" w:hAnsi="Arial" w:cs="Arial"/>
        </w:rPr>
        <w:t>,</w:t>
      </w:r>
      <w:r w:rsidR="000667AB" w:rsidRPr="00F11E80">
        <w:rPr>
          <w:rFonts w:ascii="Arial" w:hAnsi="Arial" w:cs="Arial"/>
        </w:rPr>
        <w:t xml:space="preserve"> the Fair Funding Review</w:t>
      </w:r>
      <w:r w:rsidR="005815A8" w:rsidRPr="00F11E80">
        <w:rPr>
          <w:rFonts w:ascii="Arial" w:hAnsi="Arial" w:cs="Arial"/>
        </w:rPr>
        <w:t xml:space="preserve"> and</w:t>
      </w:r>
      <w:r w:rsidR="000667AB" w:rsidRPr="00F11E80">
        <w:rPr>
          <w:rFonts w:ascii="Arial" w:hAnsi="Arial" w:cs="Arial"/>
        </w:rPr>
        <w:t xml:space="preserve"> other local government finance items.</w:t>
      </w:r>
    </w:p>
    <w:p w14:paraId="266C0BD6" w14:textId="77777777" w:rsidR="00E77471" w:rsidRPr="00F11E80" w:rsidRDefault="00E77471" w:rsidP="007E7613">
      <w:pPr>
        <w:pStyle w:val="MainText"/>
        <w:spacing w:line="240" w:lineRule="auto"/>
        <w:rPr>
          <w:rFonts w:ascii="Arial" w:hAnsi="Arial" w:cs="Arial"/>
        </w:rPr>
      </w:pPr>
    </w:p>
    <w:p w14:paraId="54DD6EBB" w14:textId="13620119" w:rsidR="00AF7F6D" w:rsidRPr="00F11E80" w:rsidRDefault="00E77471" w:rsidP="0035643B">
      <w:pPr>
        <w:pStyle w:val="MainText"/>
        <w:numPr>
          <w:ilvl w:val="0"/>
          <w:numId w:val="1"/>
        </w:numPr>
        <w:spacing w:line="240" w:lineRule="auto"/>
        <w:rPr>
          <w:rFonts w:ascii="Arial" w:hAnsi="Arial" w:cs="Arial"/>
        </w:rPr>
      </w:pPr>
      <w:r w:rsidRPr="00F11E80">
        <w:rPr>
          <w:rFonts w:ascii="Arial" w:hAnsi="Arial" w:cs="Arial"/>
        </w:rPr>
        <w:t>Policy on further Business Rates Retention and the Fair Funding Review is being developed through the Task and Finish Group on Business Rates Retention and the Fair Funding Review, Leadership Board and Executive.</w:t>
      </w:r>
    </w:p>
    <w:p w14:paraId="68389008" w14:textId="77777777" w:rsidR="00D91E1D" w:rsidRPr="005459B7" w:rsidRDefault="00D91E1D" w:rsidP="005459B7">
      <w:pPr>
        <w:rPr>
          <w:rFonts w:ascii="Arial" w:hAnsi="Arial" w:cs="Arial"/>
          <w:szCs w:val="22"/>
        </w:rPr>
      </w:pPr>
    </w:p>
    <w:p w14:paraId="39EC1C66" w14:textId="6B901ED8" w:rsidR="00072C2E" w:rsidRPr="00F11E80" w:rsidRDefault="000667AB" w:rsidP="00072C2E">
      <w:pPr>
        <w:rPr>
          <w:rFonts w:ascii="Arial" w:hAnsi="Arial" w:cs="Arial"/>
          <w:b/>
          <w:bCs/>
        </w:rPr>
      </w:pPr>
      <w:r w:rsidRPr="00F11E80">
        <w:rPr>
          <w:rFonts w:ascii="Arial" w:hAnsi="Arial" w:cs="Arial"/>
          <w:b/>
          <w:bCs/>
        </w:rPr>
        <w:t>The Local Government Finance Settlement 2019/20</w:t>
      </w:r>
    </w:p>
    <w:p w14:paraId="320A4A06" w14:textId="77777777" w:rsidR="00072C2E" w:rsidRPr="00F11E80" w:rsidRDefault="00072C2E" w:rsidP="00072C2E">
      <w:pPr>
        <w:rPr>
          <w:rFonts w:ascii="Arial" w:hAnsi="Arial" w:cs="Arial"/>
          <w:b/>
          <w:bCs/>
        </w:rPr>
      </w:pPr>
    </w:p>
    <w:p w14:paraId="25018173" w14:textId="3478C950" w:rsidR="00FB6DF1" w:rsidRPr="00F11E80" w:rsidRDefault="00FB6DF1" w:rsidP="00FB6DF1">
      <w:pPr>
        <w:pStyle w:val="ListParagraph"/>
        <w:numPr>
          <w:ilvl w:val="0"/>
          <w:numId w:val="1"/>
        </w:numPr>
        <w:rPr>
          <w:rFonts w:ascii="Arial" w:hAnsi="Arial" w:cs="Arial"/>
          <w:szCs w:val="22"/>
        </w:rPr>
      </w:pPr>
      <w:r w:rsidRPr="00F11E80">
        <w:rPr>
          <w:rFonts w:ascii="Arial" w:hAnsi="Arial" w:cs="Arial"/>
          <w:szCs w:val="22"/>
        </w:rPr>
        <w:t xml:space="preserve">The </w:t>
      </w:r>
      <w:r w:rsidR="003B12B2" w:rsidRPr="00F11E80">
        <w:rPr>
          <w:rFonts w:ascii="Arial" w:hAnsi="Arial" w:cs="Arial"/>
          <w:szCs w:val="22"/>
        </w:rPr>
        <w:t>Government</w:t>
      </w:r>
      <w:r w:rsidRPr="00F11E80">
        <w:rPr>
          <w:rFonts w:ascii="Arial" w:hAnsi="Arial" w:cs="Arial"/>
          <w:szCs w:val="22"/>
        </w:rPr>
        <w:t xml:space="preserve"> announced the 2019/20 Provisional Local Government Finance Settlement on 13 December 2018</w:t>
      </w:r>
      <w:r w:rsidR="00BA7EE9" w:rsidRPr="00F11E80">
        <w:rPr>
          <w:rFonts w:ascii="Arial" w:hAnsi="Arial" w:cs="Arial"/>
          <w:szCs w:val="22"/>
        </w:rPr>
        <w:t xml:space="preserve">. </w:t>
      </w:r>
      <w:r w:rsidR="001C1154" w:rsidRPr="00F11E80">
        <w:rPr>
          <w:rFonts w:ascii="Arial" w:hAnsi="Arial" w:cs="Arial"/>
          <w:szCs w:val="22"/>
        </w:rPr>
        <w:t xml:space="preserve">The LGA issued a </w:t>
      </w:r>
      <w:hyperlink r:id="rId15" w:history="1">
        <w:r w:rsidR="001C1154" w:rsidRPr="00F11E80">
          <w:rPr>
            <w:rStyle w:val="Hyperlink"/>
            <w:rFonts w:ascii="Arial" w:hAnsi="Arial" w:cs="Arial"/>
            <w:szCs w:val="22"/>
          </w:rPr>
          <w:t>press release</w:t>
        </w:r>
      </w:hyperlink>
      <w:r w:rsidR="003B12B2" w:rsidRPr="00F11E80">
        <w:rPr>
          <w:rStyle w:val="Hyperlink"/>
          <w:rFonts w:ascii="Arial" w:hAnsi="Arial" w:cs="Arial"/>
          <w:szCs w:val="22"/>
          <w:u w:val="none"/>
        </w:rPr>
        <w:t xml:space="preserve">, </w:t>
      </w:r>
      <w:r w:rsidR="001C1154" w:rsidRPr="00F11E80">
        <w:rPr>
          <w:rFonts w:ascii="Arial" w:hAnsi="Arial" w:cs="Arial"/>
          <w:szCs w:val="22"/>
        </w:rPr>
        <w:t xml:space="preserve">produced an </w:t>
      </w:r>
      <w:hyperlink r:id="rId16" w:history="1">
        <w:r w:rsidR="001C1154" w:rsidRPr="00F11E80">
          <w:rPr>
            <w:rStyle w:val="Hyperlink"/>
            <w:rFonts w:ascii="Arial" w:hAnsi="Arial" w:cs="Arial"/>
            <w:szCs w:val="22"/>
          </w:rPr>
          <w:t>on-the-day briefing</w:t>
        </w:r>
      </w:hyperlink>
      <w:r w:rsidR="001C1154" w:rsidRPr="00F11E80">
        <w:rPr>
          <w:rFonts w:ascii="Arial" w:hAnsi="Arial" w:cs="Arial"/>
          <w:szCs w:val="22"/>
        </w:rPr>
        <w:t xml:space="preserve"> on the </w:t>
      </w:r>
      <w:r w:rsidR="003B12B2" w:rsidRPr="00F11E80">
        <w:rPr>
          <w:rFonts w:ascii="Arial" w:hAnsi="Arial" w:cs="Arial"/>
          <w:szCs w:val="22"/>
        </w:rPr>
        <w:t>announcement</w:t>
      </w:r>
      <w:r w:rsidR="00D60DD4" w:rsidRPr="00F11E80">
        <w:rPr>
          <w:rFonts w:ascii="Arial" w:hAnsi="Arial" w:cs="Arial"/>
          <w:szCs w:val="22"/>
        </w:rPr>
        <w:t>,</w:t>
      </w:r>
      <w:r w:rsidR="001C1154" w:rsidRPr="00F11E80">
        <w:rPr>
          <w:rFonts w:ascii="Arial" w:hAnsi="Arial" w:cs="Arial"/>
          <w:szCs w:val="22"/>
        </w:rPr>
        <w:t xml:space="preserve"> and </w:t>
      </w:r>
      <w:hyperlink r:id="rId17" w:history="1">
        <w:r w:rsidR="001C1154" w:rsidRPr="00F11E80">
          <w:rPr>
            <w:rStyle w:val="Hyperlink"/>
            <w:rFonts w:ascii="Arial" w:hAnsi="Arial" w:cs="Arial"/>
            <w:szCs w:val="22"/>
          </w:rPr>
          <w:t>responded to the provisional settlement</w:t>
        </w:r>
      </w:hyperlink>
      <w:r w:rsidR="00BA7EE9" w:rsidRPr="00F11E80">
        <w:rPr>
          <w:rFonts w:ascii="Arial" w:hAnsi="Arial" w:cs="Arial"/>
          <w:szCs w:val="22"/>
        </w:rPr>
        <w:t xml:space="preserve">. </w:t>
      </w:r>
      <w:r w:rsidR="00D55B56" w:rsidRPr="00F11E80">
        <w:rPr>
          <w:rFonts w:ascii="Arial" w:hAnsi="Arial" w:cs="Arial"/>
          <w:szCs w:val="22"/>
        </w:rPr>
        <w:t xml:space="preserve">The final settlement was announced on 29 January 2019 and </w:t>
      </w:r>
      <w:r w:rsidRPr="00F11E80">
        <w:rPr>
          <w:rFonts w:ascii="Arial" w:hAnsi="Arial" w:cs="Arial"/>
          <w:szCs w:val="22"/>
        </w:rPr>
        <w:t xml:space="preserve">approved by Parliament </w:t>
      </w:r>
      <w:r w:rsidR="00576216" w:rsidRPr="00F11E80">
        <w:rPr>
          <w:rFonts w:ascii="Arial" w:hAnsi="Arial" w:cs="Arial"/>
          <w:szCs w:val="22"/>
        </w:rPr>
        <w:t>a week later</w:t>
      </w:r>
      <w:r w:rsidR="00BA7EE9" w:rsidRPr="00F11E80">
        <w:rPr>
          <w:rFonts w:ascii="Arial" w:hAnsi="Arial" w:cs="Arial"/>
          <w:szCs w:val="22"/>
        </w:rPr>
        <w:t xml:space="preserve">. </w:t>
      </w:r>
      <w:r w:rsidR="001C1154" w:rsidRPr="00F11E80">
        <w:rPr>
          <w:rFonts w:ascii="Arial" w:hAnsi="Arial" w:cs="Arial"/>
          <w:szCs w:val="22"/>
        </w:rPr>
        <w:t xml:space="preserve">The </w:t>
      </w:r>
      <w:r w:rsidR="00D60DD4" w:rsidRPr="00F11E80">
        <w:rPr>
          <w:rFonts w:ascii="Arial" w:hAnsi="Arial" w:cs="Arial"/>
          <w:szCs w:val="22"/>
        </w:rPr>
        <w:t>LGA</w:t>
      </w:r>
      <w:r w:rsidR="001C1154" w:rsidRPr="00F11E80">
        <w:rPr>
          <w:rFonts w:ascii="Arial" w:hAnsi="Arial" w:cs="Arial"/>
          <w:szCs w:val="22"/>
        </w:rPr>
        <w:t xml:space="preserve"> </w:t>
      </w:r>
      <w:hyperlink r:id="rId18" w:history="1">
        <w:r w:rsidR="00C0182A" w:rsidRPr="00F11E80">
          <w:rPr>
            <w:rStyle w:val="Hyperlink"/>
            <w:rFonts w:ascii="Arial" w:hAnsi="Arial" w:cs="Arial"/>
          </w:rPr>
          <w:t>briefed</w:t>
        </w:r>
      </w:hyperlink>
      <w:r w:rsidRPr="00F11E80">
        <w:rPr>
          <w:rFonts w:ascii="Arial" w:hAnsi="Arial" w:cs="Arial"/>
          <w:szCs w:val="22"/>
        </w:rPr>
        <w:t xml:space="preserve"> Parliamentarians </w:t>
      </w:r>
      <w:r w:rsidR="001C1154" w:rsidRPr="00F11E80">
        <w:rPr>
          <w:rFonts w:ascii="Arial" w:hAnsi="Arial" w:cs="Arial"/>
          <w:szCs w:val="22"/>
        </w:rPr>
        <w:t xml:space="preserve">ahead of </w:t>
      </w:r>
      <w:r w:rsidRPr="00F11E80">
        <w:rPr>
          <w:rFonts w:ascii="Arial" w:hAnsi="Arial" w:cs="Arial"/>
          <w:szCs w:val="22"/>
        </w:rPr>
        <w:t>the debate</w:t>
      </w:r>
      <w:r w:rsidR="00BA7EE9" w:rsidRPr="00F11E80">
        <w:rPr>
          <w:rFonts w:ascii="Arial" w:hAnsi="Arial" w:cs="Arial"/>
          <w:szCs w:val="22"/>
        </w:rPr>
        <w:t xml:space="preserve">. </w:t>
      </w:r>
      <w:r w:rsidR="001C1154" w:rsidRPr="00F11E80">
        <w:rPr>
          <w:rFonts w:ascii="Arial" w:hAnsi="Arial" w:cs="Arial"/>
          <w:szCs w:val="22"/>
        </w:rPr>
        <w:t>A number of MP</w:t>
      </w:r>
      <w:r w:rsidR="00C0182A" w:rsidRPr="00F11E80">
        <w:rPr>
          <w:rFonts w:ascii="Arial" w:hAnsi="Arial" w:cs="Arial"/>
          <w:szCs w:val="22"/>
        </w:rPr>
        <w:t>s</w:t>
      </w:r>
      <w:r w:rsidR="001C1154" w:rsidRPr="00F11E80">
        <w:rPr>
          <w:rFonts w:ascii="Arial" w:hAnsi="Arial" w:cs="Arial"/>
          <w:szCs w:val="22"/>
        </w:rPr>
        <w:t xml:space="preserve"> used LGA lines, and referenced the LGA funding gap during the debate.</w:t>
      </w:r>
    </w:p>
    <w:p w14:paraId="3235A42B" w14:textId="77777777" w:rsidR="00FB6DF1" w:rsidRPr="00F11E80" w:rsidRDefault="00FB6DF1" w:rsidP="00FB6DF1">
      <w:pPr>
        <w:pStyle w:val="ListParagraph"/>
        <w:ind w:left="360"/>
        <w:rPr>
          <w:rFonts w:ascii="Arial" w:hAnsi="Arial" w:cs="Arial"/>
          <w:szCs w:val="22"/>
        </w:rPr>
      </w:pPr>
    </w:p>
    <w:p w14:paraId="7FF9B1F2" w14:textId="39976942" w:rsidR="00FB6DF1" w:rsidRPr="00F11E80" w:rsidRDefault="001E2E36" w:rsidP="00FB6DF1">
      <w:pPr>
        <w:numPr>
          <w:ilvl w:val="0"/>
          <w:numId w:val="1"/>
        </w:numPr>
        <w:jc w:val="both"/>
        <w:rPr>
          <w:rFonts w:ascii="Arial" w:hAnsi="Arial" w:cs="Arial"/>
          <w:szCs w:val="22"/>
        </w:rPr>
      </w:pPr>
      <w:r w:rsidRPr="00F11E80">
        <w:rPr>
          <w:rFonts w:ascii="Arial" w:hAnsi="Arial" w:cs="Arial"/>
          <w:szCs w:val="22"/>
        </w:rPr>
        <w:t xml:space="preserve">The </w:t>
      </w:r>
      <w:r w:rsidR="00FB6DF1" w:rsidRPr="00F11E80">
        <w:rPr>
          <w:rFonts w:ascii="Arial" w:hAnsi="Arial" w:cs="Arial"/>
          <w:szCs w:val="22"/>
        </w:rPr>
        <w:t xml:space="preserve">key announcements in the </w:t>
      </w:r>
      <w:r w:rsidR="00576216" w:rsidRPr="00F11E80">
        <w:rPr>
          <w:rFonts w:ascii="Arial" w:hAnsi="Arial" w:cs="Arial"/>
          <w:szCs w:val="22"/>
        </w:rPr>
        <w:t xml:space="preserve">2019/20 Local Government Finance </w:t>
      </w:r>
      <w:r w:rsidR="00FB6DF1" w:rsidRPr="00F11E80">
        <w:rPr>
          <w:rFonts w:ascii="Arial" w:hAnsi="Arial" w:cs="Arial"/>
          <w:szCs w:val="22"/>
        </w:rPr>
        <w:t>Settlement</w:t>
      </w:r>
      <w:r w:rsidRPr="00F11E80">
        <w:rPr>
          <w:rFonts w:ascii="Arial" w:hAnsi="Arial" w:cs="Arial"/>
          <w:szCs w:val="22"/>
        </w:rPr>
        <w:t xml:space="preserve"> were</w:t>
      </w:r>
      <w:r w:rsidR="00FB6DF1" w:rsidRPr="00F11E80">
        <w:rPr>
          <w:rFonts w:ascii="Arial" w:hAnsi="Arial" w:cs="Arial"/>
          <w:szCs w:val="22"/>
        </w:rPr>
        <w:t>:</w:t>
      </w:r>
    </w:p>
    <w:p w14:paraId="292C8E0C" w14:textId="77777777" w:rsidR="00FB6DF1" w:rsidRPr="00F11E80" w:rsidRDefault="00FB6DF1" w:rsidP="00FB6DF1">
      <w:pPr>
        <w:ind w:left="360"/>
        <w:jc w:val="both"/>
        <w:rPr>
          <w:rFonts w:ascii="Arial" w:hAnsi="Arial" w:cs="Arial"/>
          <w:szCs w:val="22"/>
        </w:rPr>
      </w:pPr>
    </w:p>
    <w:p w14:paraId="4E7F32F1" w14:textId="77777777" w:rsidR="005459B7" w:rsidRDefault="00FB6DF1" w:rsidP="005459B7">
      <w:pPr>
        <w:numPr>
          <w:ilvl w:val="1"/>
          <w:numId w:val="1"/>
        </w:numPr>
        <w:ind w:left="851"/>
        <w:contextualSpacing/>
        <w:rPr>
          <w:rFonts w:ascii="Arial" w:eastAsia="Calibri" w:hAnsi="Arial" w:cs="Arial"/>
          <w:szCs w:val="22"/>
        </w:rPr>
      </w:pPr>
      <w:r w:rsidRPr="00F11E80">
        <w:rPr>
          <w:rFonts w:ascii="Arial" w:eastAsia="Calibri" w:hAnsi="Arial" w:cs="Arial"/>
          <w:szCs w:val="22"/>
        </w:rPr>
        <w:t xml:space="preserve">Core Spending Power, as defined by MHCLG, </w:t>
      </w:r>
      <w:r w:rsidR="00576216" w:rsidRPr="00F11E80">
        <w:rPr>
          <w:rFonts w:ascii="Arial" w:eastAsia="Calibri" w:hAnsi="Arial" w:cs="Arial"/>
          <w:szCs w:val="22"/>
        </w:rPr>
        <w:t>rose</w:t>
      </w:r>
      <w:r w:rsidRPr="00F11E80">
        <w:rPr>
          <w:rFonts w:ascii="Arial" w:eastAsia="Calibri" w:hAnsi="Arial" w:cs="Arial"/>
          <w:szCs w:val="22"/>
        </w:rPr>
        <w:t xml:space="preserve"> by an average of 2.8 pe</w:t>
      </w:r>
      <w:r w:rsidR="00576216" w:rsidRPr="00F11E80">
        <w:rPr>
          <w:rFonts w:ascii="Arial" w:eastAsia="Calibri" w:hAnsi="Arial" w:cs="Arial"/>
          <w:szCs w:val="22"/>
        </w:rPr>
        <w:t>r cent in 2019/20. This included</w:t>
      </w:r>
      <w:r w:rsidRPr="00F11E80">
        <w:rPr>
          <w:rFonts w:ascii="Arial" w:eastAsia="Calibri" w:hAnsi="Arial" w:cs="Arial"/>
          <w:szCs w:val="22"/>
        </w:rPr>
        <w:t>:</w:t>
      </w:r>
    </w:p>
    <w:p w14:paraId="1B54BF76" w14:textId="77777777" w:rsidR="005459B7" w:rsidRDefault="005459B7" w:rsidP="005459B7">
      <w:pPr>
        <w:ind w:left="851"/>
        <w:contextualSpacing/>
        <w:rPr>
          <w:rFonts w:ascii="Arial" w:eastAsia="Calibri" w:hAnsi="Arial" w:cs="Arial"/>
          <w:szCs w:val="22"/>
        </w:rPr>
      </w:pPr>
    </w:p>
    <w:p w14:paraId="3E274E22" w14:textId="77777777" w:rsidR="005459B7" w:rsidRPr="005459B7" w:rsidRDefault="003B12B2" w:rsidP="005459B7">
      <w:pPr>
        <w:pStyle w:val="ListParagraph"/>
        <w:numPr>
          <w:ilvl w:val="2"/>
          <w:numId w:val="32"/>
        </w:numPr>
        <w:contextualSpacing/>
        <w:rPr>
          <w:rFonts w:ascii="Arial" w:eastAsia="Calibri" w:hAnsi="Arial" w:cs="Arial"/>
          <w:szCs w:val="22"/>
        </w:rPr>
      </w:pPr>
      <w:r w:rsidRPr="005459B7">
        <w:rPr>
          <w:rFonts w:ascii="Arial" w:hAnsi="Arial" w:cs="Arial"/>
          <w:szCs w:val="22"/>
        </w:rPr>
        <w:t>A</w:t>
      </w:r>
      <w:r w:rsidR="00FB6DF1" w:rsidRPr="005459B7">
        <w:rPr>
          <w:rFonts w:ascii="Arial" w:hAnsi="Arial" w:cs="Arial"/>
          <w:szCs w:val="22"/>
        </w:rPr>
        <w:t xml:space="preserve">dditional resources of £240 million for </w:t>
      </w:r>
      <w:r w:rsidR="00576216" w:rsidRPr="005459B7">
        <w:rPr>
          <w:rFonts w:ascii="Arial" w:hAnsi="Arial" w:cs="Arial"/>
          <w:szCs w:val="22"/>
        </w:rPr>
        <w:t>a</w:t>
      </w:r>
      <w:r w:rsidR="00FB6DF1" w:rsidRPr="005459B7">
        <w:rPr>
          <w:rFonts w:ascii="Arial" w:hAnsi="Arial" w:cs="Arial"/>
          <w:szCs w:val="22"/>
        </w:rPr>
        <w:t xml:space="preserve">dult </w:t>
      </w:r>
      <w:r w:rsidR="00576216" w:rsidRPr="005459B7">
        <w:rPr>
          <w:rFonts w:ascii="Arial" w:hAnsi="Arial" w:cs="Arial"/>
          <w:szCs w:val="22"/>
        </w:rPr>
        <w:t>s</w:t>
      </w:r>
      <w:r w:rsidR="00FB6DF1" w:rsidRPr="005459B7">
        <w:rPr>
          <w:rFonts w:ascii="Arial" w:hAnsi="Arial" w:cs="Arial"/>
          <w:szCs w:val="22"/>
        </w:rPr>
        <w:t xml:space="preserve">ocial </w:t>
      </w:r>
      <w:r w:rsidR="00576216" w:rsidRPr="005459B7">
        <w:rPr>
          <w:rFonts w:ascii="Arial" w:hAnsi="Arial" w:cs="Arial"/>
          <w:szCs w:val="22"/>
        </w:rPr>
        <w:t>c</w:t>
      </w:r>
      <w:r w:rsidR="00FB6DF1" w:rsidRPr="005459B7">
        <w:rPr>
          <w:rFonts w:ascii="Arial" w:hAnsi="Arial" w:cs="Arial"/>
          <w:szCs w:val="22"/>
        </w:rPr>
        <w:t>are and £410 million, for both adults and children’s social care, announced in the Budget in October 2018;</w:t>
      </w:r>
    </w:p>
    <w:p w14:paraId="1D41D288" w14:textId="77777777" w:rsidR="005459B7" w:rsidRPr="005459B7" w:rsidRDefault="005459B7" w:rsidP="005459B7">
      <w:pPr>
        <w:pStyle w:val="ListParagraph"/>
        <w:ind w:left="1570"/>
        <w:contextualSpacing/>
        <w:rPr>
          <w:rFonts w:ascii="Arial" w:eastAsia="Calibri" w:hAnsi="Arial" w:cs="Arial"/>
          <w:szCs w:val="22"/>
        </w:rPr>
      </w:pPr>
    </w:p>
    <w:p w14:paraId="123DF5B4" w14:textId="77777777" w:rsidR="005459B7" w:rsidRPr="005459B7" w:rsidRDefault="00FB6DF1" w:rsidP="005459B7">
      <w:pPr>
        <w:pStyle w:val="ListParagraph"/>
        <w:numPr>
          <w:ilvl w:val="2"/>
          <w:numId w:val="32"/>
        </w:numPr>
        <w:contextualSpacing/>
        <w:rPr>
          <w:rFonts w:ascii="Arial" w:eastAsia="Calibri" w:hAnsi="Arial" w:cs="Arial"/>
          <w:szCs w:val="22"/>
        </w:rPr>
      </w:pPr>
      <w:r w:rsidRPr="005459B7">
        <w:rPr>
          <w:rFonts w:ascii="Arial" w:hAnsi="Arial" w:cs="Arial"/>
          <w:szCs w:val="22"/>
        </w:rPr>
        <w:t>Additional funding for the New Homes Bonus of £18 million to maintain the threshold at 0.4 per cent;</w:t>
      </w:r>
    </w:p>
    <w:p w14:paraId="01367BE2" w14:textId="77777777" w:rsidR="005459B7" w:rsidRPr="005459B7" w:rsidRDefault="005459B7" w:rsidP="005459B7">
      <w:pPr>
        <w:pStyle w:val="ListParagraph"/>
        <w:ind w:left="1570"/>
        <w:contextualSpacing/>
        <w:rPr>
          <w:rFonts w:ascii="Arial" w:eastAsia="Calibri" w:hAnsi="Arial" w:cs="Arial"/>
          <w:szCs w:val="22"/>
        </w:rPr>
      </w:pPr>
    </w:p>
    <w:p w14:paraId="4D9C3163" w14:textId="77777777" w:rsidR="005459B7" w:rsidRPr="005459B7" w:rsidRDefault="00FB6DF1" w:rsidP="005459B7">
      <w:pPr>
        <w:pStyle w:val="ListParagraph"/>
        <w:numPr>
          <w:ilvl w:val="2"/>
          <w:numId w:val="32"/>
        </w:numPr>
        <w:contextualSpacing/>
        <w:rPr>
          <w:rFonts w:ascii="Arial" w:eastAsia="Calibri" w:hAnsi="Arial" w:cs="Arial"/>
          <w:szCs w:val="22"/>
        </w:rPr>
      </w:pPr>
      <w:r w:rsidRPr="005459B7">
        <w:rPr>
          <w:rFonts w:ascii="Arial" w:hAnsi="Arial" w:cs="Arial"/>
          <w:szCs w:val="22"/>
        </w:rPr>
        <w:t>An increase in the Rural Services Delivery Grant of £16 million;</w:t>
      </w:r>
    </w:p>
    <w:p w14:paraId="223B43BA" w14:textId="77777777" w:rsidR="005459B7" w:rsidRPr="005459B7" w:rsidRDefault="005459B7" w:rsidP="005459B7">
      <w:pPr>
        <w:pStyle w:val="ListParagraph"/>
        <w:ind w:left="1570"/>
        <w:contextualSpacing/>
        <w:rPr>
          <w:rFonts w:ascii="Arial" w:eastAsia="Calibri" w:hAnsi="Arial" w:cs="Arial"/>
          <w:szCs w:val="22"/>
        </w:rPr>
      </w:pPr>
    </w:p>
    <w:p w14:paraId="07132C4E" w14:textId="77777777" w:rsidR="005459B7" w:rsidRPr="005459B7" w:rsidRDefault="00730AAC" w:rsidP="005459B7">
      <w:pPr>
        <w:pStyle w:val="ListParagraph"/>
        <w:numPr>
          <w:ilvl w:val="2"/>
          <w:numId w:val="32"/>
        </w:numPr>
        <w:contextualSpacing/>
        <w:rPr>
          <w:rFonts w:ascii="Arial" w:eastAsia="Calibri" w:hAnsi="Arial" w:cs="Arial"/>
          <w:szCs w:val="22"/>
        </w:rPr>
      </w:pPr>
      <w:r w:rsidRPr="005459B7">
        <w:rPr>
          <w:rFonts w:ascii="Arial" w:hAnsi="Arial" w:cs="Arial"/>
          <w:szCs w:val="22"/>
        </w:rPr>
        <w:t>Additional r</w:t>
      </w:r>
      <w:r w:rsidR="00FB6DF1" w:rsidRPr="005459B7">
        <w:rPr>
          <w:rFonts w:ascii="Arial" w:hAnsi="Arial" w:cs="Arial"/>
          <w:szCs w:val="22"/>
        </w:rPr>
        <w:t>esources of £152.9 million to cancel the adjustment known as Negative Revenue Support Grant;</w:t>
      </w:r>
    </w:p>
    <w:p w14:paraId="56A1FA02" w14:textId="77777777" w:rsidR="005459B7" w:rsidRPr="005459B7" w:rsidRDefault="005459B7" w:rsidP="005459B7">
      <w:pPr>
        <w:pStyle w:val="ListParagraph"/>
        <w:ind w:left="1570"/>
        <w:contextualSpacing/>
        <w:rPr>
          <w:rFonts w:ascii="Arial" w:eastAsia="Calibri" w:hAnsi="Arial" w:cs="Arial"/>
          <w:szCs w:val="22"/>
        </w:rPr>
      </w:pPr>
    </w:p>
    <w:p w14:paraId="4907257A" w14:textId="05976044" w:rsidR="00FB6DF1" w:rsidRPr="005459B7" w:rsidRDefault="00FB6DF1" w:rsidP="005459B7">
      <w:pPr>
        <w:pStyle w:val="ListParagraph"/>
        <w:numPr>
          <w:ilvl w:val="2"/>
          <w:numId w:val="32"/>
        </w:numPr>
        <w:contextualSpacing/>
        <w:rPr>
          <w:rFonts w:ascii="Arial" w:eastAsia="Calibri" w:hAnsi="Arial" w:cs="Arial"/>
          <w:szCs w:val="22"/>
        </w:rPr>
      </w:pPr>
      <w:r w:rsidRPr="005459B7">
        <w:rPr>
          <w:rFonts w:ascii="Arial" w:hAnsi="Arial" w:cs="Arial"/>
          <w:szCs w:val="22"/>
        </w:rPr>
        <w:t xml:space="preserve">Updated council tax figures based on decisions local authorities made in 2018/19, revised </w:t>
      </w:r>
      <w:proofErr w:type="spellStart"/>
      <w:r w:rsidRPr="005459B7">
        <w:rPr>
          <w:rFonts w:ascii="Arial" w:hAnsi="Arial" w:cs="Arial"/>
          <w:szCs w:val="22"/>
        </w:rPr>
        <w:t>taxbase</w:t>
      </w:r>
      <w:proofErr w:type="spellEnd"/>
      <w:r w:rsidRPr="005459B7">
        <w:rPr>
          <w:rFonts w:ascii="Arial" w:hAnsi="Arial" w:cs="Arial"/>
          <w:szCs w:val="22"/>
        </w:rPr>
        <w:t xml:space="preserve"> growth assumptions, and </w:t>
      </w:r>
      <w:r w:rsidR="003B5CCB" w:rsidRPr="005459B7">
        <w:rPr>
          <w:rFonts w:ascii="Arial" w:hAnsi="Arial" w:cs="Arial"/>
          <w:szCs w:val="22"/>
        </w:rPr>
        <w:t xml:space="preserve">the </w:t>
      </w:r>
      <w:r w:rsidRPr="005459B7">
        <w:rPr>
          <w:rFonts w:ascii="Arial" w:hAnsi="Arial" w:cs="Arial"/>
          <w:szCs w:val="22"/>
        </w:rPr>
        <w:t>assumption</w:t>
      </w:r>
      <w:r w:rsidR="003B5CCB" w:rsidRPr="005459B7">
        <w:rPr>
          <w:rFonts w:ascii="Arial" w:hAnsi="Arial" w:cs="Arial"/>
          <w:szCs w:val="22"/>
        </w:rPr>
        <w:t xml:space="preserve"> that councils increase</w:t>
      </w:r>
      <w:r w:rsidRPr="005459B7">
        <w:rPr>
          <w:rFonts w:ascii="Arial" w:hAnsi="Arial" w:cs="Arial"/>
          <w:szCs w:val="22"/>
        </w:rPr>
        <w:t xml:space="preserve"> council tax </w:t>
      </w:r>
      <w:r w:rsidR="003B5CCB" w:rsidRPr="005459B7">
        <w:rPr>
          <w:rFonts w:ascii="Arial" w:hAnsi="Arial" w:cs="Arial"/>
          <w:szCs w:val="22"/>
        </w:rPr>
        <w:t xml:space="preserve">by the maximum possible within the referendum </w:t>
      </w:r>
      <w:r w:rsidR="004F79E3" w:rsidRPr="005459B7">
        <w:rPr>
          <w:rFonts w:ascii="Arial" w:hAnsi="Arial" w:cs="Arial"/>
          <w:szCs w:val="22"/>
        </w:rPr>
        <w:t>limits</w:t>
      </w:r>
      <w:r w:rsidRPr="005459B7">
        <w:rPr>
          <w:rFonts w:ascii="Arial" w:hAnsi="Arial" w:cs="Arial"/>
          <w:szCs w:val="22"/>
        </w:rPr>
        <w:t>;</w:t>
      </w:r>
    </w:p>
    <w:p w14:paraId="634C7B98" w14:textId="77777777" w:rsidR="00576216" w:rsidRPr="00F11E80" w:rsidRDefault="00576216" w:rsidP="00576216">
      <w:pPr>
        <w:ind w:left="792"/>
        <w:contextualSpacing/>
        <w:rPr>
          <w:rFonts w:ascii="Arial" w:eastAsia="Calibri" w:hAnsi="Arial" w:cs="Arial"/>
          <w:szCs w:val="22"/>
        </w:rPr>
      </w:pPr>
    </w:p>
    <w:p w14:paraId="089BB2BF" w14:textId="77511450" w:rsidR="00576216" w:rsidRPr="00F11E80" w:rsidRDefault="00576216" w:rsidP="009E2760">
      <w:pPr>
        <w:numPr>
          <w:ilvl w:val="1"/>
          <w:numId w:val="1"/>
        </w:numPr>
        <w:ind w:left="851"/>
        <w:contextualSpacing/>
        <w:rPr>
          <w:rFonts w:ascii="Arial" w:eastAsia="Calibri" w:hAnsi="Arial" w:cs="Arial"/>
          <w:szCs w:val="22"/>
        </w:rPr>
      </w:pPr>
      <w:r w:rsidRPr="00F11E80">
        <w:rPr>
          <w:rFonts w:ascii="Arial" w:eastAsia="Calibri" w:hAnsi="Arial" w:cs="Arial"/>
          <w:szCs w:val="22"/>
        </w:rPr>
        <w:t xml:space="preserve">In addition, a surplus of £180 million on the </w:t>
      </w:r>
      <w:r w:rsidR="003B12B2" w:rsidRPr="00F11E80">
        <w:rPr>
          <w:rFonts w:ascii="Arial" w:eastAsia="Calibri" w:hAnsi="Arial" w:cs="Arial"/>
          <w:szCs w:val="22"/>
        </w:rPr>
        <w:t xml:space="preserve">business rate retention </w:t>
      </w:r>
      <w:r w:rsidRPr="00F11E80">
        <w:rPr>
          <w:rFonts w:ascii="Arial" w:eastAsia="Calibri" w:hAnsi="Arial" w:cs="Arial"/>
          <w:szCs w:val="22"/>
        </w:rPr>
        <w:t>levy account was returned to all councils based on the</w:t>
      </w:r>
      <w:r w:rsidR="003B12B2" w:rsidRPr="00F11E80">
        <w:rPr>
          <w:rFonts w:ascii="Arial" w:eastAsia="Calibri" w:hAnsi="Arial" w:cs="Arial"/>
          <w:szCs w:val="22"/>
        </w:rPr>
        <w:t>ir</w:t>
      </w:r>
      <w:r w:rsidRPr="00F11E80">
        <w:rPr>
          <w:rFonts w:ascii="Arial" w:eastAsia="Calibri" w:hAnsi="Arial" w:cs="Arial"/>
          <w:szCs w:val="22"/>
        </w:rPr>
        <w:t xml:space="preserve"> 2013/14 Settlement Funding Assessment</w:t>
      </w:r>
      <w:r w:rsidR="00BA7EE9" w:rsidRPr="00F11E80">
        <w:rPr>
          <w:rFonts w:ascii="Arial" w:eastAsia="Calibri" w:hAnsi="Arial" w:cs="Arial"/>
          <w:szCs w:val="22"/>
        </w:rPr>
        <w:t xml:space="preserve">. </w:t>
      </w:r>
      <w:r w:rsidRPr="00F11E80">
        <w:rPr>
          <w:rFonts w:ascii="Arial" w:eastAsia="Calibri" w:hAnsi="Arial" w:cs="Arial"/>
          <w:szCs w:val="22"/>
        </w:rPr>
        <w:t>This was not included in Core Spending Power.</w:t>
      </w:r>
    </w:p>
    <w:p w14:paraId="01341363" w14:textId="77777777" w:rsidR="00576216" w:rsidRDefault="00576216" w:rsidP="009E2760">
      <w:pPr>
        <w:ind w:left="851"/>
        <w:contextualSpacing/>
        <w:rPr>
          <w:rFonts w:ascii="Arial" w:eastAsia="Calibri" w:hAnsi="Arial" w:cs="Arial"/>
          <w:szCs w:val="22"/>
        </w:rPr>
      </w:pPr>
    </w:p>
    <w:p w14:paraId="18A011B6" w14:textId="77777777" w:rsidR="005459B7" w:rsidRDefault="005459B7" w:rsidP="009E2760">
      <w:pPr>
        <w:ind w:left="851"/>
        <w:contextualSpacing/>
        <w:rPr>
          <w:rFonts w:ascii="Arial" w:eastAsia="Calibri" w:hAnsi="Arial" w:cs="Arial"/>
          <w:szCs w:val="22"/>
        </w:rPr>
      </w:pPr>
    </w:p>
    <w:p w14:paraId="4FD44311" w14:textId="77777777" w:rsidR="005459B7" w:rsidRDefault="005459B7" w:rsidP="009E2760">
      <w:pPr>
        <w:ind w:left="851"/>
        <w:contextualSpacing/>
        <w:rPr>
          <w:rFonts w:ascii="Arial" w:eastAsia="Calibri" w:hAnsi="Arial" w:cs="Arial"/>
          <w:szCs w:val="22"/>
        </w:rPr>
      </w:pPr>
    </w:p>
    <w:p w14:paraId="1D1DB5C0" w14:textId="77777777" w:rsidR="005459B7" w:rsidRPr="00F11E80" w:rsidRDefault="005459B7" w:rsidP="009E2760">
      <w:pPr>
        <w:ind w:left="851"/>
        <w:contextualSpacing/>
        <w:rPr>
          <w:rFonts w:ascii="Arial" w:eastAsia="Calibri" w:hAnsi="Arial" w:cs="Arial"/>
          <w:szCs w:val="22"/>
        </w:rPr>
      </w:pPr>
    </w:p>
    <w:p w14:paraId="1F8038EC" w14:textId="77777777" w:rsidR="005459B7" w:rsidRDefault="00FB6DF1" w:rsidP="005459B7">
      <w:pPr>
        <w:numPr>
          <w:ilvl w:val="1"/>
          <w:numId w:val="1"/>
        </w:numPr>
        <w:ind w:left="851"/>
        <w:contextualSpacing/>
        <w:rPr>
          <w:rFonts w:ascii="Arial" w:eastAsia="Calibri" w:hAnsi="Arial" w:cs="Arial"/>
          <w:szCs w:val="22"/>
        </w:rPr>
      </w:pPr>
      <w:r w:rsidRPr="00F11E80">
        <w:rPr>
          <w:rFonts w:ascii="Arial" w:eastAsia="Calibri" w:hAnsi="Arial" w:cs="Arial"/>
          <w:szCs w:val="22"/>
        </w:rPr>
        <w:t>The following council tax referendum principles were:</w:t>
      </w:r>
    </w:p>
    <w:p w14:paraId="4E9E858D" w14:textId="77777777" w:rsidR="005459B7" w:rsidRDefault="005459B7" w:rsidP="005459B7">
      <w:pPr>
        <w:pStyle w:val="ListParagraph"/>
        <w:rPr>
          <w:rFonts w:ascii="Arial" w:hAnsi="Arial" w:cs="Arial"/>
          <w:szCs w:val="22"/>
        </w:rPr>
      </w:pPr>
    </w:p>
    <w:p w14:paraId="3954C6C5" w14:textId="77777777" w:rsidR="005459B7" w:rsidRPr="005459B7" w:rsidRDefault="00FB6DF1" w:rsidP="005459B7">
      <w:pPr>
        <w:pStyle w:val="ListParagraph"/>
        <w:numPr>
          <w:ilvl w:val="2"/>
          <w:numId w:val="33"/>
        </w:numPr>
        <w:contextualSpacing/>
        <w:rPr>
          <w:rFonts w:ascii="Arial" w:eastAsia="Calibri" w:hAnsi="Arial" w:cs="Arial"/>
          <w:szCs w:val="22"/>
        </w:rPr>
      </w:pPr>
      <w:r w:rsidRPr="005459B7">
        <w:rPr>
          <w:rFonts w:ascii="Arial" w:hAnsi="Arial" w:cs="Arial"/>
          <w:szCs w:val="22"/>
        </w:rPr>
        <w:t xml:space="preserve">A core </w:t>
      </w:r>
      <w:r w:rsidR="004B1475" w:rsidRPr="005459B7">
        <w:rPr>
          <w:rFonts w:ascii="Arial" w:hAnsi="Arial" w:cs="Arial"/>
          <w:szCs w:val="22"/>
        </w:rPr>
        <w:t xml:space="preserve">referendum </w:t>
      </w:r>
      <w:r w:rsidRPr="005459B7">
        <w:rPr>
          <w:rFonts w:ascii="Arial" w:hAnsi="Arial" w:cs="Arial"/>
          <w:szCs w:val="22"/>
        </w:rPr>
        <w:t>principle of up to 3 per cent</w:t>
      </w:r>
      <w:r w:rsidR="004B1475" w:rsidRPr="00F11E80">
        <w:rPr>
          <w:vertAlign w:val="superscript"/>
        </w:rPr>
        <w:footnoteReference w:id="2"/>
      </w:r>
      <w:r w:rsidR="00440ED2" w:rsidRPr="005459B7">
        <w:rPr>
          <w:rFonts w:ascii="Arial" w:hAnsi="Arial" w:cs="Arial"/>
          <w:szCs w:val="22"/>
        </w:rPr>
        <w:t>;</w:t>
      </w:r>
    </w:p>
    <w:p w14:paraId="17D240AC" w14:textId="77777777" w:rsidR="005459B7" w:rsidRPr="005459B7" w:rsidRDefault="005459B7" w:rsidP="005459B7">
      <w:pPr>
        <w:pStyle w:val="ListParagraph"/>
        <w:ind w:left="1570"/>
        <w:contextualSpacing/>
        <w:rPr>
          <w:rFonts w:ascii="Arial" w:eastAsia="Calibri" w:hAnsi="Arial" w:cs="Arial"/>
          <w:szCs w:val="22"/>
        </w:rPr>
      </w:pPr>
    </w:p>
    <w:p w14:paraId="530BC8EB" w14:textId="0AACBBCE" w:rsidR="005459B7" w:rsidRPr="005459B7" w:rsidRDefault="00FB6DF1" w:rsidP="005459B7">
      <w:pPr>
        <w:pStyle w:val="ListParagraph"/>
        <w:numPr>
          <w:ilvl w:val="2"/>
          <w:numId w:val="33"/>
        </w:numPr>
        <w:contextualSpacing/>
        <w:rPr>
          <w:rFonts w:ascii="Arial" w:eastAsia="Calibri" w:hAnsi="Arial" w:cs="Arial"/>
          <w:szCs w:val="22"/>
        </w:rPr>
      </w:pPr>
      <w:r w:rsidRPr="005459B7">
        <w:rPr>
          <w:rFonts w:ascii="Arial" w:hAnsi="Arial" w:cs="Arial"/>
          <w:szCs w:val="22"/>
        </w:rPr>
        <w:t>A continuation of the Adult Social Care precept</w:t>
      </w:r>
      <w:r w:rsidR="004B1475" w:rsidRPr="00F11E80">
        <w:rPr>
          <w:vertAlign w:val="superscript"/>
        </w:rPr>
        <w:footnoteReference w:id="3"/>
      </w:r>
      <w:r w:rsidR="005459B7">
        <w:rPr>
          <w:rFonts w:ascii="Arial" w:hAnsi="Arial" w:cs="Arial"/>
          <w:szCs w:val="22"/>
        </w:rPr>
        <w:t>;</w:t>
      </w:r>
    </w:p>
    <w:p w14:paraId="3F40A409" w14:textId="77777777" w:rsidR="005459B7" w:rsidRPr="005459B7" w:rsidRDefault="005459B7" w:rsidP="005459B7">
      <w:pPr>
        <w:pStyle w:val="ListParagraph"/>
        <w:rPr>
          <w:rFonts w:ascii="Arial" w:hAnsi="Arial" w:cs="Arial"/>
          <w:szCs w:val="22"/>
        </w:rPr>
      </w:pPr>
    </w:p>
    <w:p w14:paraId="729FE25B" w14:textId="0B139E4E" w:rsidR="005459B7" w:rsidRPr="005459B7" w:rsidRDefault="003B12B2" w:rsidP="005459B7">
      <w:pPr>
        <w:pStyle w:val="ListParagraph"/>
        <w:numPr>
          <w:ilvl w:val="2"/>
          <w:numId w:val="33"/>
        </w:numPr>
        <w:contextualSpacing/>
        <w:rPr>
          <w:rFonts w:ascii="Arial" w:eastAsia="Calibri" w:hAnsi="Arial" w:cs="Arial"/>
          <w:szCs w:val="22"/>
        </w:rPr>
      </w:pPr>
      <w:r w:rsidRPr="005459B7">
        <w:rPr>
          <w:rFonts w:ascii="Arial" w:hAnsi="Arial" w:cs="Arial"/>
          <w:szCs w:val="22"/>
        </w:rPr>
        <w:t>T</w:t>
      </w:r>
      <w:r w:rsidR="00576216" w:rsidRPr="005459B7">
        <w:rPr>
          <w:rFonts w:ascii="Arial" w:hAnsi="Arial" w:cs="Arial"/>
          <w:szCs w:val="22"/>
        </w:rPr>
        <w:t xml:space="preserve">he higher of </w:t>
      </w:r>
      <w:r w:rsidR="00FB6DF1" w:rsidRPr="005459B7">
        <w:rPr>
          <w:rFonts w:ascii="Arial" w:hAnsi="Arial" w:cs="Arial"/>
          <w:szCs w:val="22"/>
        </w:rPr>
        <w:t>up to 3 per cent</w:t>
      </w:r>
      <w:r w:rsidR="00576216" w:rsidRPr="005459B7">
        <w:rPr>
          <w:rFonts w:ascii="Arial" w:hAnsi="Arial" w:cs="Arial"/>
          <w:szCs w:val="22"/>
        </w:rPr>
        <w:t xml:space="preserve"> or </w:t>
      </w:r>
      <w:r w:rsidR="00FB6DF1" w:rsidRPr="005459B7">
        <w:rPr>
          <w:rFonts w:ascii="Arial" w:hAnsi="Arial" w:cs="Arial"/>
          <w:szCs w:val="22"/>
        </w:rPr>
        <w:t>£5</w:t>
      </w:r>
      <w:r w:rsidRPr="005459B7">
        <w:rPr>
          <w:rFonts w:ascii="Arial" w:hAnsi="Arial" w:cs="Arial"/>
          <w:szCs w:val="22"/>
        </w:rPr>
        <w:t xml:space="preserve"> for shire district councils</w:t>
      </w:r>
      <w:r w:rsidR="005459B7">
        <w:rPr>
          <w:rFonts w:ascii="Arial" w:hAnsi="Arial" w:cs="Arial"/>
          <w:szCs w:val="22"/>
        </w:rPr>
        <w:t>; and</w:t>
      </w:r>
    </w:p>
    <w:p w14:paraId="0F0808B6" w14:textId="77777777" w:rsidR="005459B7" w:rsidRPr="005459B7" w:rsidRDefault="005459B7" w:rsidP="005459B7">
      <w:pPr>
        <w:pStyle w:val="ListParagraph"/>
        <w:rPr>
          <w:rFonts w:ascii="Arial" w:hAnsi="Arial" w:cs="Arial"/>
          <w:szCs w:val="22"/>
        </w:rPr>
      </w:pPr>
    </w:p>
    <w:p w14:paraId="51102671" w14:textId="7ABBBB29" w:rsidR="00FB6DF1" w:rsidRPr="005459B7" w:rsidRDefault="003B12B2" w:rsidP="005459B7">
      <w:pPr>
        <w:pStyle w:val="ListParagraph"/>
        <w:numPr>
          <w:ilvl w:val="2"/>
          <w:numId w:val="33"/>
        </w:numPr>
        <w:contextualSpacing/>
        <w:rPr>
          <w:rFonts w:ascii="Arial" w:eastAsia="Calibri" w:hAnsi="Arial" w:cs="Arial"/>
          <w:szCs w:val="22"/>
        </w:rPr>
      </w:pPr>
      <w:r w:rsidRPr="005459B7">
        <w:rPr>
          <w:rFonts w:ascii="Arial" w:hAnsi="Arial" w:cs="Arial"/>
          <w:szCs w:val="22"/>
        </w:rPr>
        <w:t>Increases of up to £24 for Police and crime commissioners (PCCs)</w:t>
      </w:r>
      <w:r w:rsidRPr="00F11E80">
        <w:rPr>
          <w:rStyle w:val="FootnoteReference"/>
          <w:rFonts w:ascii="Arial" w:hAnsi="Arial" w:cs="Arial"/>
          <w:szCs w:val="22"/>
        </w:rPr>
        <w:footnoteReference w:id="4"/>
      </w:r>
      <w:r w:rsidR="00440ED2" w:rsidRPr="005459B7">
        <w:rPr>
          <w:rFonts w:ascii="Arial" w:hAnsi="Arial" w:cs="Arial"/>
          <w:szCs w:val="22"/>
        </w:rPr>
        <w:t>.</w:t>
      </w:r>
    </w:p>
    <w:p w14:paraId="078FBDC0" w14:textId="77777777" w:rsidR="00FB6DF1" w:rsidRPr="00F11E80" w:rsidRDefault="00FB6DF1" w:rsidP="00FB6DF1">
      <w:pPr>
        <w:contextualSpacing/>
        <w:rPr>
          <w:rFonts w:ascii="Arial" w:eastAsia="Calibri" w:hAnsi="Arial" w:cs="Arial"/>
          <w:szCs w:val="22"/>
        </w:rPr>
      </w:pPr>
    </w:p>
    <w:p w14:paraId="306F1663" w14:textId="5156ED73" w:rsidR="00FB6DF1" w:rsidRPr="00F11E80" w:rsidRDefault="003B12B2" w:rsidP="009E2760">
      <w:pPr>
        <w:numPr>
          <w:ilvl w:val="1"/>
          <w:numId w:val="1"/>
        </w:numPr>
        <w:ind w:left="851"/>
        <w:contextualSpacing/>
        <w:rPr>
          <w:rFonts w:ascii="Arial" w:eastAsia="Calibri" w:hAnsi="Arial" w:cs="Arial"/>
          <w:szCs w:val="22"/>
        </w:rPr>
      </w:pPr>
      <w:r w:rsidRPr="00F11E80">
        <w:rPr>
          <w:rFonts w:ascii="Arial" w:eastAsia="Calibri" w:hAnsi="Arial" w:cs="Arial"/>
          <w:szCs w:val="22"/>
        </w:rPr>
        <w:t>Sixteen</w:t>
      </w:r>
      <w:r w:rsidR="00FB6DF1" w:rsidRPr="00F11E80">
        <w:rPr>
          <w:rFonts w:ascii="Arial" w:eastAsia="Calibri" w:hAnsi="Arial" w:cs="Arial"/>
          <w:szCs w:val="22"/>
        </w:rPr>
        <w:t xml:space="preserve"> local authority areas </w:t>
      </w:r>
      <w:r w:rsidR="00576216" w:rsidRPr="00F11E80">
        <w:rPr>
          <w:rFonts w:ascii="Arial" w:eastAsia="Calibri" w:hAnsi="Arial" w:cs="Arial"/>
          <w:szCs w:val="22"/>
        </w:rPr>
        <w:t>will</w:t>
      </w:r>
      <w:r w:rsidR="00FB6DF1" w:rsidRPr="00F11E80">
        <w:rPr>
          <w:rFonts w:ascii="Arial" w:eastAsia="Calibri" w:hAnsi="Arial" w:cs="Arial"/>
          <w:szCs w:val="22"/>
        </w:rPr>
        <w:t xml:space="preserve"> pilot 75 per cent Busi</w:t>
      </w:r>
      <w:r w:rsidRPr="00F11E80">
        <w:rPr>
          <w:rFonts w:ascii="Arial" w:eastAsia="Calibri" w:hAnsi="Arial" w:cs="Arial"/>
          <w:szCs w:val="22"/>
        </w:rPr>
        <w:t>ness Rates Retention in 2019/20</w:t>
      </w:r>
      <w:r w:rsidR="00FB6DF1" w:rsidRPr="00F11E80">
        <w:rPr>
          <w:rFonts w:ascii="Arial" w:eastAsia="Calibri" w:hAnsi="Arial" w:cs="Arial"/>
          <w:szCs w:val="22"/>
        </w:rPr>
        <w:t xml:space="preserve">. The five 100 per cent business rates pilots which started in 2017/18 </w:t>
      </w:r>
      <w:r w:rsidRPr="00F11E80">
        <w:rPr>
          <w:rFonts w:ascii="Arial" w:eastAsia="Calibri" w:hAnsi="Arial" w:cs="Arial"/>
          <w:szCs w:val="22"/>
        </w:rPr>
        <w:t>will</w:t>
      </w:r>
      <w:r w:rsidR="00FB6DF1" w:rsidRPr="00F11E80">
        <w:rPr>
          <w:rFonts w:ascii="Arial" w:eastAsia="Calibri" w:hAnsi="Arial" w:cs="Arial"/>
          <w:szCs w:val="22"/>
        </w:rPr>
        <w:t xml:space="preserve"> continue. This should have no financial effect on non-pilot authorities.</w:t>
      </w:r>
    </w:p>
    <w:p w14:paraId="7FCAB6B1" w14:textId="77777777" w:rsidR="00FB6DF1" w:rsidRPr="00F11E80" w:rsidRDefault="00FB6DF1" w:rsidP="00FB6DF1">
      <w:pPr>
        <w:pStyle w:val="ListParagraph"/>
        <w:rPr>
          <w:rFonts w:ascii="Arial" w:eastAsia="Calibri" w:hAnsi="Arial" w:cs="Arial"/>
          <w:szCs w:val="22"/>
        </w:rPr>
      </w:pPr>
    </w:p>
    <w:p w14:paraId="5C18BCA6" w14:textId="6BA90B3C" w:rsidR="00FB6DF1" w:rsidRPr="00F11E80" w:rsidRDefault="00FB6DF1" w:rsidP="00FB6DF1">
      <w:pPr>
        <w:pStyle w:val="ListParagraph"/>
        <w:numPr>
          <w:ilvl w:val="0"/>
          <w:numId w:val="1"/>
        </w:numPr>
        <w:rPr>
          <w:rFonts w:ascii="Arial" w:hAnsi="Arial" w:cs="Arial"/>
          <w:szCs w:val="22"/>
        </w:rPr>
      </w:pPr>
      <w:r w:rsidRPr="00F11E80">
        <w:rPr>
          <w:rFonts w:ascii="Arial" w:hAnsi="Arial" w:cs="Arial"/>
          <w:szCs w:val="22"/>
        </w:rPr>
        <w:t xml:space="preserve">The </w:t>
      </w:r>
      <w:hyperlink r:id="rId19" w:history="1">
        <w:r w:rsidRPr="00F11E80">
          <w:rPr>
            <w:rStyle w:val="Hyperlink"/>
            <w:rFonts w:ascii="Arial" w:hAnsi="Arial" w:cs="Arial"/>
            <w:szCs w:val="22"/>
          </w:rPr>
          <w:t>LGA response</w:t>
        </w:r>
      </w:hyperlink>
      <w:r w:rsidRPr="00F11E80">
        <w:rPr>
          <w:rFonts w:ascii="Arial" w:hAnsi="Arial" w:cs="Arial"/>
          <w:szCs w:val="22"/>
        </w:rPr>
        <w:t xml:space="preserve"> was approved by the Chairman, Group Leaders and Lead Members of </w:t>
      </w:r>
      <w:r w:rsidR="00576216" w:rsidRPr="00F11E80">
        <w:rPr>
          <w:rFonts w:ascii="Arial" w:hAnsi="Arial" w:cs="Arial"/>
          <w:szCs w:val="22"/>
        </w:rPr>
        <w:t xml:space="preserve">Resources </w:t>
      </w:r>
      <w:r w:rsidRPr="00F11E80">
        <w:rPr>
          <w:rFonts w:ascii="Arial" w:hAnsi="Arial" w:cs="Arial"/>
          <w:szCs w:val="22"/>
        </w:rPr>
        <w:t xml:space="preserve">Board. </w:t>
      </w:r>
      <w:r w:rsidR="00D06D13" w:rsidRPr="00F11E80">
        <w:rPr>
          <w:rFonts w:ascii="Arial" w:hAnsi="Arial" w:cs="Arial"/>
          <w:szCs w:val="22"/>
        </w:rPr>
        <w:t>K</w:t>
      </w:r>
      <w:r w:rsidRPr="00F11E80">
        <w:rPr>
          <w:rFonts w:ascii="Arial" w:hAnsi="Arial" w:cs="Arial"/>
          <w:szCs w:val="22"/>
        </w:rPr>
        <w:t xml:space="preserve">ey points </w:t>
      </w:r>
      <w:r w:rsidR="00D06D13" w:rsidRPr="00F11E80">
        <w:rPr>
          <w:rFonts w:ascii="Arial" w:hAnsi="Arial" w:cs="Arial"/>
          <w:szCs w:val="22"/>
        </w:rPr>
        <w:t>include</w:t>
      </w:r>
      <w:r w:rsidR="003B12B2" w:rsidRPr="00F11E80">
        <w:rPr>
          <w:rFonts w:ascii="Arial" w:hAnsi="Arial" w:cs="Arial"/>
          <w:szCs w:val="22"/>
        </w:rPr>
        <w:t>d</w:t>
      </w:r>
      <w:r w:rsidR="00D06D13" w:rsidRPr="00F11E80">
        <w:rPr>
          <w:rFonts w:ascii="Arial" w:hAnsi="Arial" w:cs="Arial"/>
          <w:szCs w:val="22"/>
        </w:rPr>
        <w:t xml:space="preserve"> the following</w:t>
      </w:r>
      <w:r w:rsidRPr="00F11E80">
        <w:rPr>
          <w:rFonts w:ascii="Arial" w:hAnsi="Arial" w:cs="Arial"/>
          <w:szCs w:val="22"/>
        </w:rPr>
        <w:t>:</w:t>
      </w:r>
    </w:p>
    <w:p w14:paraId="0111125A" w14:textId="77777777" w:rsidR="000C28B2" w:rsidRPr="00F11E80" w:rsidRDefault="000C28B2" w:rsidP="000C28B2">
      <w:pPr>
        <w:pStyle w:val="ListParagraph"/>
        <w:ind w:left="360"/>
        <w:rPr>
          <w:rFonts w:ascii="Arial" w:hAnsi="Arial" w:cs="Arial"/>
          <w:szCs w:val="22"/>
        </w:rPr>
      </w:pPr>
    </w:p>
    <w:p w14:paraId="412E0913" w14:textId="53FD1A33" w:rsidR="000C28B2" w:rsidRPr="00F11E80" w:rsidRDefault="00576216" w:rsidP="009E2760">
      <w:pPr>
        <w:numPr>
          <w:ilvl w:val="1"/>
          <w:numId w:val="1"/>
        </w:numPr>
        <w:ind w:left="851"/>
        <w:contextualSpacing/>
        <w:rPr>
          <w:rFonts w:ascii="Arial" w:eastAsia="Calibri" w:hAnsi="Arial" w:cs="Arial"/>
          <w:szCs w:val="22"/>
        </w:rPr>
      </w:pPr>
      <w:r w:rsidRPr="00F11E80">
        <w:rPr>
          <w:rFonts w:ascii="Arial" w:eastAsia="Calibri" w:hAnsi="Arial" w:cs="Arial"/>
          <w:szCs w:val="22"/>
        </w:rPr>
        <w:t xml:space="preserve">Welcomed the extra funding, which </w:t>
      </w:r>
      <w:r w:rsidR="000C28B2" w:rsidRPr="00F11E80">
        <w:rPr>
          <w:rFonts w:ascii="Arial" w:eastAsia="Calibri" w:hAnsi="Arial" w:cs="Arial"/>
          <w:szCs w:val="22"/>
        </w:rPr>
        <w:t xml:space="preserve">showed that the Government is listening to the </w:t>
      </w:r>
      <w:r w:rsidRPr="00F11E80">
        <w:rPr>
          <w:rFonts w:ascii="Arial" w:eastAsia="Calibri" w:hAnsi="Arial" w:cs="Arial"/>
          <w:szCs w:val="22"/>
        </w:rPr>
        <w:t>LGA but pointed to the £3 billion funding gap facing c</w:t>
      </w:r>
      <w:r w:rsidR="000C28B2" w:rsidRPr="00F11E80">
        <w:rPr>
          <w:rFonts w:ascii="Arial" w:eastAsia="Calibri" w:hAnsi="Arial" w:cs="Arial"/>
          <w:szCs w:val="22"/>
        </w:rPr>
        <w:t>ouncils</w:t>
      </w:r>
      <w:r w:rsidR="00440ED2" w:rsidRPr="00F11E80">
        <w:rPr>
          <w:rFonts w:ascii="Arial" w:eastAsia="Calibri" w:hAnsi="Arial" w:cs="Arial"/>
          <w:szCs w:val="22"/>
        </w:rPr>
        <w:t xml:space="preserve"> in 2019/20;</w:t>
      </w:r>
    </w:p>
    <w:p w14:paraId="1E1EE323" w14:textId="77777777" w:rsidR="000C28B2" w:rsidRPr="00F11E80" w:rsidRDefault="000C28B2" w:rsidP="009E2760">
      <w:pPr>
        <w:ind w:left="851"/>
        <w:contextualSpacing/>
        <w:rPr>
          <w:rFonts w:ascii="Arial" w:eastAsia="Calibri" w:hAnsi="Arial" w:cs="Arial"/>
          <w:szCs w:val="22"/>
        </w:rPr>
      </w:pPr>
    </w:p>
    <w:p w14:paraId="2A1D939B" w14:textId="321351F0" w:rsidR="00B77B1C" w:rsidRPr="00F11E80" w:rsidRDefault="00B77B1C" w:rsidP="009E2760">
      <w:pPr>
        <w:numPr>
          <w:ilvl w:val="1"/>
          <w:numId w:val="1"/>
        </w:numPr>
        <w:ind w:left="851"/>
        <w:contextualSpacing/>
        <w:rPr>
          <w:rFonts w:ascii="Arial" w:eastAsia="Calibri" w:hAnsi="Arial" w:cs="Arial"/>
          <w:szCs w:val="22"/>
        </w:rPr>
      </w:pPr>
      <w:r w:rsidRPr="00F11E80">
        <w:rPr>
          <w:rFonts w:ascii="Arial" w:eastAsia="Calibri" w:hAnsi="Arial" w:cs="Arial"/>
          <w:szCs w:val="22"/>
        </w:rPr>
        <w:t>Called on the Government to provide additional resources in the 2019/20 final settlement and 2019 Spending Review</w:t>
      </w:r>
      <w:r w:rsidR="00440ED2" w:rsidRPr="00F11E80">
        <w:rPr>
          <w:rFonts w:ascii="Arial" w:eastAsia="Calibri" w:hAnsi="Arial" w:cs="Arial"/>
          <w:szCs w:val="22"/>
        </w:rPr>
        <w:t>;</w:t>
      </w:r>
    </w:p>
    <w:p w14:paraId="4287C5DF" w14:textId="77777777" w:rsidR="00B77B1C" w:rsidRPr="00F11E80" w:rsidRDefault="00B77B1C" w:rsidP="009E2760">
      <w:pPr>
        <w:ind w:left="851"/>
        <w:contextualSpacing/>
        <w:rPr>
          <w:rFonts w:ascii="Arial" w:eastAsia="Calibri" w:hAnsi="Arial" w:cs="Arial"/>
          <w:szCs w:val="22"/>
        </w:rPr>
      </w:pPr>
    </w:p>
    <w:p w14:paraId="5943D880" w14:textId="3D2645A9" w:rsidR="000C28B2" w:rsidRPr="00F11E80" w:rsidRDefault="00576216" w:rsidP="009E2760">
      <w:pPr>
        <w:numPr>
          <w:ilvl w:val="1"/>
          <w:numId w:val="1"/>
        </w:numPr>
        <w:ind w:left="851"/>
        <w:contextualSpacing/>
        <w:rPr>
          <w:rFonts w:ascii="Arial" w:eastAsia="Calibri" w:hAnsi="Arial" w:cs="Arial"/>
          <w:szCs w:val="22"/>
        </w:rPr>
      </w:pPr>
      <w:r w:rsidRPr="00F11E80">
        <w:rPr>
          <w:rFonts w:ascii="Arial" w:eastAsia="Calibri" w:hAnsi="Arial" w:cs="Arial"/>
          <w:szCs w:val="22"/>
        </w:rPr>
        <w:t xml:space="preserve">Welcomed the continuation of the </w:t>
      </w:r>
      <w:r w:rsidR="000C28B2" w:rsidRPr="00F11E80">
        <w:rPr>
          <w:rFonts w:ascii="Arial" w:eastAsia="Calibri" w:hAnsi="Arial" w:cs="Arial"/>
          <w:szCs w:val="22"/>
        </w:rPr>
        <w:t xml:space="preserve">higher </w:t>
      </w:r>
      <w:r w:rsidR="00B77B1C" w:rsidRPr="00F11E80">
        <w:rPr>
          <w:rFonts w:ascii="Arial" w:eastAsia="Calibri" w:hAnsi="Arial" w:cs="Arial"/>
          <w:szCs w:val="22"/>
        </w:rPr>
        <w:t xml:space="preserve">council tax </w:t>
      </w:r>
      <w:r w:rsidR="000C28B2" w:rsidRPr="00F11E80">
        <w:rPr>
          <w:rFonts w:ascii="Arial" w:eastAsia="Calibri" w:hAnsi="Arial" w:cs="Arial"/>
          <w:szCs w:val="22"/>
        </w:rPr>
        <w:t xml:space="preserve">referendum limit </w:t>
      </w:r>
      <w:r w:rsidRPr="00F11E80">
        <w:rPr>
          <w:rFonts w:ascii="Arial" w:eastAsia="Calibri" w:hAnsi="Arial" w:cs="Arial"/>
          <w:szCs w:val="22"/>
        </w:rPr>
        <w:t xml:space="preserve">but requested additional flexibility for </w:t>
      </w:r>
      <w:r w:rsidR="000C28B2" w:rsidRPr="00F11E80">
        <w:rPr>
          <w:rFonts w:ascii="Arial" w:eastAsia="Calibri" w:hAnsi="Arial" w:cs="Arial"/>
          <w:szCs w:val="22"/>
        </w:rPr>
        <w:t>shire districts</w:t>
      </w:r>
      <w:r w:rsidR="003B12B2" w:rsidRPr="00F11E80">
        <w:rPr>
          <w:rFonts w:ascii="Arial" w:eastAsia="Calibri" w:hAnsi="Arial" w:cs="Arial"/>
          <w:szCs w:val="22"/>
        </w:rPr>
        <w:t xml:space="preserve"> who do not benefit from the £5 </w:t>
      </w:r>
      <w:r w:rsidR="00B77B1C" w:rsidRPr="00F11E80">
        <w:rPr>
          <w:rFonts w:ascii="Arial" w:eastAsia="Calibri" w:hAnsi="Arial" w:cs="Arial"/>
          <w:szCs w:val="22"/>
        </w:rPr>
        <w:t>limit</w:t>
      </w:r>
      <w:r w:rsidR="00440ED2" w:rsidRPr="00F11E80">
        <w:rPr>
          <w:rFonts w:ascii="Arial" w:eastAsia="Calibri" w:hAnsi="Arial" w:cs="Arial"/>
          <w:szCs w:val="22"/>
        </w:rPr>
        <w:t>;</w:t>
      </w:r>
    </w:p>
    <w:p w14:paraId="1AD59938" w14:textId="77777777" w:rsidR="000C28B2" w:rsidRPr="00F11E80" w:rsidRDefault="000C28B2" w:rsidP="009E2760">
      <w:pPr>
        <w:ind w:left="851"/>
        <w:contextualSpacing/>
        <w:rPr>
          <w:rFonts w:ascii="Arial" w:eastAsia="Calibri" w:hAnsi="Arial" w:cs="Arial"/>
          <w:szCs w:val="22"/>
        </w:rPr>
      </w:pPr>
    </w:p>
    <w:p w14:paraId="4B49B89E" w14:textId="26E35579" w:rsidR="000C28B2" w:rsidRPr="00F11E80" w:rsidRDefault="00576216" w:rsidP="009E2760">
      <w:pPr>
        <w:numPr>
          <w:ilvl w:val="1"/>
          <w:numId w:val="1"/>
        </w:numPr>
        <w:ind w:left="851"/>
        <w:contextualSpacing/>
        <w:rPr>
          <w:rFonts w:ascii="Arial" w:eastAsia="Calibri" w:hAnsi="Arial" w:cs="Arial"/>
          <w:szCs w:val="22"/>
        </w:rPr>
      </w:pPr>
      <w:r w:rsidRPr="00F11E80">
        <w:rPr>
          <w:rFonts w:ascii="Arial" w:eastAsia="Calibri" w:hAnsi="Arial" w:cs="Arial"/>
          <w:szCs w:val="22"/>
        </w:rPr>
        <w:t>W</w:t>
      </w:r>
      <w:r w:rsidR="000C28B2" w:rsidRPr="00F11E80">
        <w:rPr>
          <w:rFonts w:ascii="Arial" w:eastAsia="Calibri" w:hAnsi="Arial" w:cs="Arial"/>
          <w:szCs w:val="22"/>
        </w:rPr>
        <w:t>elcome</w:t>
      </w:r>
      <w:r w:rsidRPr="00F11E80">
        <w:rPr>
          <w:rFonts w:ascii="Arial" w:eastAsia="Calibri" w:hAnsi="Arial" w:cs="Arial"/>
          <w:szCs w:val="22"/>
        </w:rPr>
        <w:t>d</w:t>
      </w:r>
      <w:r w:rsidR="000C28B2" w:rsidRPr="00F11E80">
        <w:rPr>
          <w:rFonts w:ascii="Arial" w:eastAsia="Calibri" w:hAnsi="Arial" w:cs="Arial"/>
          <w:szCs w:val="22"/>
        </w:rPr>
        <w:t xml:space="preserve"> the Government’s decision not to increase the </w:t>
      </w:r>
      <w:r w:rsidR="00440ED2" w:rsidRPr="00F11E80">
        <w:rPr>
          <w:rFonts w:ascii="Arial" w:eastAsia="Calibri" w:hAnsi="Arial" w:cs="Arial"/>
          <w:szCs w:val="22"/>
        </w:rPr>
        <w:t>New Homes Bonus (NHB) threshold;</w:t>
      </w:r>
    </w:p>
    <w:p w14:paraId="4246F18F" w14:textId="77777777" w:rsidR="000C28B2" w:rsidRPr="00F11E80" w:rsidRDefault="000C28B2" w:rsidP="009E2760">
      <w:pPr>
        <w:ind w:left="851"/>
        <w:contextualSpacing/>
        <w:rPr>
          <w:rFonts w:ascii="Arial" w:eastAsia="Calibri" w:hAnsi="Arial" w:cs="Arial"/>
          <w:szCs w:val="22"/>
        </w:rPr>
      </w:pPr>
    </w:p>
    <w:p w14:paraId="0A6B0FE2" w14:textId="58F509DC" w:rsidR="00862C98" w:rsidRPr="00F11E80" w:rsidRDefault="00862C98" w:rsidP="009E2760">
      <w:pPr>
        <w:numPr>
          <w:ilvl w:val="1"/>
          <w:numId w:val="1"/>
        </w:numPr>
        <w:ind w:left="851"/>
        <w:contextualSpacing/>
        <w:rPr>
          <w:rFonts w:ascii="Arial" w:eastAsia="Calibri" w:hAnsi="Arial" w:cs="Arial"/>
          <w:szCs w:val="22"/>
        </w:rPr>
      </w:pPr>
      <w:r w:rsidRPr="00F11E80">
        <w:rPr>
          <w:rFonts w:ascii="Arial" w:eastAsia="Calibri" w:hAnsi="Arial" w:cs="Arial"/>
          <w:szCs w:val="22"/>
        </w:rPr>
        <w:t xml:space="preserve">Pointed to the uncertainty facing councils from April 2020 and </w:t>
      </w:r>
      <w:r w:rsidR="00C81684" w:rsidRPr="00F11E80">
        <w:rPr>
          <w:rFonts w:ascii="Arial" w:eastAsia="Calibri" w:hAnsi="Arial" w:cs="Arial"/>
          <w:szCs w:val="22"/>
        </w:rPr>
        <w:t>called</w:t>
      </w:r>
      <w:r w:rsidRPr="00F11E80">
        <w:rPr>
          <w:rFonts w:ascii="Arial" w:eastAsia="Calibri" w:hAnsi="Arial" w:cs="Arial"/>
          <w:szCs w:val="22"/>
        </w:rPr>
        <w:t xml:space="preserve"> for greater </w:t>
      </w:r>
      <w:r w:rsidR="003B12B2" w:rsidRPr="00F11E80">
        <w:rPr>
          <w:rFonts w:ascii="Arial" w:eastAsia="Calibri" w:hAnsi="Arial" w:cs="Arial"/>
          <w:szCs w:val="22"/>
        </w:rPr>
        <w:t>clarity</w:t>
      </w:r>
      <w:r w:rsidRPr="00F11E80">
        <w:rPr>
          <w:rFonts w:ascii="Arial" w:eastAsia="Calibri" w:hAnsi="Arial" w:cs="Arial"/>
          <w:szCs w:val="22"/>
        </w:rPr>
        <w:t>.</w:t>
      </w:r>
    </w:p>
    <w:p w14:paraId="7ED80CF5" w14:textId="77777777" w:rsidR="000C28B2" w:rsidRPr="00F11E80" w:rsidRDefault="000C28B2" w:rsidP="000C28B2">
      <w:pPr>
        <w:pStyle w:val="List2"/>
        <w:ind w:left="792" w:firstLine="0"/>
        <w:rPr>
          <w:rFonts w:ascii="Arial" w:eastAsia="Calibri" w:hAnsi="Arial" w:cs="Arial"/>
          <w:szCs w:val="22"/>
        </w:rPr>
      </w:pPr>
    </w:p>
    <w:p w14:paraId="230E8383" w14:textId="1F595D20" w:rsidR="000C28B2" w:rsidRPr="00F11E80" w:rsidRDefault="000C28B2" w:rsidP="000C28B2">
      <w:pPr>
        <w:pStyle w:val="ListParagraph"/>
        <w:numPr>
          <w:ilvl w:val="0"/>
          <w:numId w:val="1"/>
        </w:numPr>
        <w:rPr>
          <w:rFonts w:ascii="Arial" w:eastAsia="Calibri" w:hAnsi="Arial" w:cs="Arial"/>
          <w:szCs w:val="22"/>
          <w:lang w:val="en-US"/>
        </w:rPr>
      </w:pPr>
      <w:r w:rsidRPr="00F11E80">
        <w:rPr>
          <w:rFonts w:ascii="Arial" w:hAnsi="Arial" w:cs="Arial"/>
          <w:szCs w:val="22"/>
        </w:rPr>
        <w:t>A cross party group of LGA politicians met with Rishi Sunak MP, Parliamentary Under Secretary of State and Minister for Local Government, on 9 January 2019</w:t>
      </w:r>
      <w:r w:rsidR="00BA7EE9" w:rsidRPr="00F11E80">
        <w:rPr>
          <w:rFonts w:ascii="Arial" w:hAnsi="Arial" w:cs="Arial"/>
          <w:szCs w:val="22"/>
        </w:rPr>
        <w:t xml:space="preserve">. </w:t>
      </w:r>
      <w:r w:rsidRPr="00F11E80">
        <w:rPr>
          <w:rFonts w:ascii="Arial" w:hAnsi="Arial" w:cs="Arial"/>
          <w:szCs w:val="22"/>
        </w:rPr>
        <w:t>Members raised a number of the key issues in our response to the settlement</w:t>
      </w:r>
      <w:r w:rsidR="001E2E36" w:rsidRPr="00F11E80">
        <w:rPr>
          <w:rFonts w:ascii="Arial" w:hAnsi="Arial" w:cs="Arial"/>
          <w:szCs w:val="22"/>
        </w:rPr>
        <w:t xml:space="preserve"> and</w:t>
      </w:r>
      <w:r w:rsidRPr="00F11E80">
        <w:rPr>
          <w:rFonts w:ascii="Arial" w:hAnsi="Arial" w:cs="Arial"/>
          <w:szCs w:val="22"/>
        </w:rPr>
        <w:t xml:space="preserve"> offered to work closely with the MHCLG in the run up to the 2019 Spending Review.</w:t>
      </w:r>
    </w:p>
    <w:p w14:paraId="00B18AC9" w14:textId="77777777" w:rsidR="00D06D13" w:rsidRPr="00F11E80" w:rsidRDefault="00D06D13" w:rsidP="00D06D13">
      <w:pPr>
        <w:pStyle w:val="ListParagraph"/>
        <w:ind w:left="360"/>
        <w:rPr>
          <w:rFonts w:ascii="Arial" w:eastAsia="Calibri" w:hAnsi="Arial" w:cs="Arial"/>
          <w:szCs w:val="22"/>
          <w:lang w:val="en-US"/>
        </w:rPr>
      </w:pPr>
    </w:p>
    <w:p w14:paraId="7608CC04" w14:textId="114AB2A8" w:rsidR="00D06D13" w:rsidRPr="00F11E80" w:rsidRDefault="00D06D13" w:rsidP="00D06D13">
      <w:pPr>
        <w:pStyle w:val="ListParagraph"/>
        <w:numPr>
          <w:ilvl w:val="0"/>
          <w:numId w:val="1"/>
        </w:numPr>
        <w:rPr>
          <w:rFonts w:ascii="Arial" w:hAnsi="Arial" w:cs="Arial"/>
        </w:rPr>
      </w:pPr>
      <w:r w:rsidRPr="00F11E80">
        <w:rPr>
          <w:rFonts w:ascii="Arial" w:hAnsi="Arial" w:cs="Arial"/>
        </w:rPr>
        <w:t>Our annual finance conference on 8 January was a great success</w:t>
      </w:r>
      <w:r w:rsidR="00C81684" w:rsidRPr="00F11E80">
        <w:rPr>
          <w:rFonts w:ascii="Arial" w:hAnsi="Arial" w:cs="Arial"/>
        </w:rPr>
        <w:t xml:space="preserve"> featuring </w:t>
      </w:r>
      <w:r w:rsidRPr="00F11E80">
        <w:rPr>
          <w:rFonts w:ascii="Arial" w:hAnsi="Arial" w:cs="Arial"/>
        </w:rPr>
        <w:t>speakers from across the political spectrum including the Chief Secretary to the Treasury, Liz</w:t>
      </w:r>
    </w:p>
    <w:p w14:paraId="4A87A70B" w14:textId="77777777" w:rsidR="00D06D13" w:rsidRPr="00F11E80" w:rsidRDefault="00D06D13" w:rsidP="00D06D13">
      <w:pPr>
        <w:pStyle w:val="ListParagraph"/>
        <w:ind w:left="360"/>
        <w:rPr>
          <w:rFonts w:ascii="Arial" w:hAnsi="Arial" w:cs="Arial"/>
        </w:rPr>
      </w:pPr>
      <w:r w:rsidRPr="00F11E80">
        <w:rPr>
          <w:rFonts w:ascii="Arial" w:hAnsi="Arial" w:cs="Arial"/>
        </w:rPr>
        <w:t>Truss, the Secretary of State for Housing, Communities and local Government, James</w:t>
      </w:r>
    </w:p>
    <w:p w14:paraId="512038EC" w14:textId="21457C1B" w:rsidR="00D06D13" w:rsidRPr="00F11E80" w:rsidRDefault="00D06D13" w:rsidP="005F13E6">
      <w:pPr>
        <w:pStyle w:val="ListParagraph"/>
        <w:ind w:left="360"/>
        <w:rPr>
          <w:rFonts w:ascii="Arial" w:hAnsi="Arial" w:cs="Arial"/>
        </w:rPr>
      </w:pPr>
      <w:proofErr w:type="spellStart"/>
      <w:r w:rsidRPr="00F11E80">
        <w:rPr>
          <w:rFonts w:ascii="Arial" w:hAnsi="Arial" w:cs="Arial"/>
        </w:rPr>
        <w:lastRenderedPageBreak/>
        <w:t>Brokenshire</w:t>
      </w:r>
      <w:proofErr w:type="spellEnd"/>
      <w:r w:rsidRPr="00F11E80">
        <w:rPr>
          <w:rFonts w:ascii="Arial" w:hAnsi="Arial" w:cs="Arial"/>
        </w:rPr>
        <w:t xml:space="preserve">, and the Shadow Secretary of State for Communities and Local Government, Andrew Gwynne. The conference was fully sold out, and was chaired by the Chair and Vice Chair of </w:t>
      </w:r>
      <w:r w:rsidR="00CD2762" w:rsidRPr="00F11E80">
        <w:rPr>
          <w:rFonts w:ascii="Arial" w:hAnsi="Arial" w:cs="Arial"/>
        </w:rPr>
        <w:t>Resources</w:t>
      </w:r>
      <w:r w:rsidRPr="00F11E80">
        <w:rPr>
          <w:rFonts w:ascii="Arial" w:hAnsi="Arial" w:cs="Arial"/>
        </w:rPr>
        <w:t xml:space="preserve"> Board.</w:t>
      </w:r>
    </w:p>
    <w:p w14:paraId="089A6D35" w14:textId="77777777" w:rsidR="00D06D13" w:rsidRPr="00F11E80" w:rsidRDefault="00D06D13" w:rsidP="00D06D13">
      <w:pPr>
        <w:pStyle w:val="ListParagraph"/>
        <w:ind w:left="360"/>
        <w:rPr>
          <w:rFonts w:ascii="Arial" w:eastAsia="Calibri" w:hAnsi="Arial" w:cs="Arial"/>
          <w:szCs w:val="22"/>
          <w:lang w:val="en-US"/>
        </w:rPr>
      </w:pPr>
    </w:p>
    <w:p w14:paraId="0B4DB69B" w14:textId="77777777" w:rsidR="001E2E36" w:rsidRPr="00F11E80" w:rsidRDefault="001E2E36" w:rsidP="00D06D13">
      <w:pPr>
        <w:pStyle w:val="ListParagraph"/>
        <w:ind w:left="360"/>
        <w:rPr>
          <w:rFonts w:ascii="Arial" w:eastAsia="Calibri" w:hAnsi="Arial" w:cs="Arial"/>
          <w:szCs w:val="22"/>
          <w:lang w:val="en-US"/>
        </w:rPr>
      </w:pPr>
    </w:p>
    <w:p w14:paraId="72E94C18" w14:textId="77777777" w:rsidR="0035643B" w:rsidRPr="00F11E80" w:rsidRDefault="0035643B" w:rsidP="001E2E36">
      <w:pPr>
        <w:keepNext/>
        <w:keepLines/>
        <w:rPr>
          <w:rFonts w:ascii="Arial" w:hAnsi="Arial" w:cs="Arial"/>
          <w:b/>
          <w:bCs/>
          <w:szCs w:val="22"/>
        </w:rPr>
      </w:pPr>
      <w:r w:rsidRPr="00F11E80">
        <w:rPr>
          <w:rFonts w:ascii="Arial" w:hAnsi="Arial" w:cs="Arial"/>
          <w:b/>
          <w:bCs/>
          <w:szCs w:val="22"/>
        </w:rPr>
        <w:t>Fair Funding Review</w:t>
      </w:r>
    </w:p>
    <w:p w14:paraId="4FF6C2DD" w14:textId="77777777" w:rsidR="0035643B" w:rsidRPr="00F11E80" w:rsidRDefault="0035643B" w:rsidP="001E2E36">
      <w:pPr>
        <w:keepNext/>
        <w:keepLines/>
        <w:rPr>
          <w:rFonts w:ascii="Arial" w:hAnsi="Arial" w:cs="Arial"/>
          <w:szCs w:val="22"/>
          <w:u w:val="single"/>
        </w:rPr>
      </w:pPr>
    </w:p>
    <w:p w14:paraId="259C5AF6" w14:textId="43B34E18" w:rsidR="0035643B" w:rsidRPr="00F11E80" w:rsidRDefault="00E53E80" w:rsidP="008D2A4A">
      <w:pPr>
        <w:pStyle w:val="ListParagraph"/>
        <w:numPr>
          <w:ilvl w:val="0"/>
          <w:numId w:val="1"/>
        </w:numPr>
        <w:rPr>
          <w:rFonts w:ascii="Arial" w:hAnsi="Arial" w:cs="Arial"/>
          <w:szCs w:val="22"/>
        </w:rPr>
      </w:pPr>
      <w:r>
        <w:rPr>
          <w:rFonts w:ascii="Arial" w:hAnsi="Arial" w:cs="Arial"/>
          <w:szCs w:val="22"/>
        </w:rPr>
        <w:t xml:space="preserve">The Government’s further </w:t>
      </w:r>
      <w:r w:rsidR="008D2A4A" w:rsidRPr="00F11E80">
        <w:rPr>
          <w:rFonts w:ascii="Arial" w:hAnsi="Arial" w:cs="Arial"/>
          <w:szCs w:val="22"/>
        </w:rPr>
        <w:t xml:space="preserve">consultation on </w:t>
      </w:r>
      <w:r>
        <w:rPr>
          <w:rFonts w:ascii="Arial" w:hAnsi="Arial" w:cs="Arial"/>
          <w:szCs w:val="22"/>
        </w:rPr>
        <w:t xml:space="preserve">its </w:t>
      </w:r>
      <w:hyperlink r:id="rId20" w:history="1">
        <w:r>
          <w:rPr>
            <w:rFonts w:ascii="Arial" w:hAnsi="Arial" w:cs="Arial"/>
            <w:color w:val="0070C0"/>
            <w:u w:val="single"/>
          </w:rPr>
          <w:t>r</w:t>
        </w:r>
        <w:r w:rsidR="001017F3" w:rsidRPr="00F11E80">
          <w:rPr>
            <w:rFonts w:ascii="Arial" w:hAnsi="Arial" w:cs="Arial"/>
            <w:color w:val="0070C0"/>
            <w:u w:val="single"/>
          </w:rPr>
          <w:t>eview of</w:t>
        </w:r>
        <w:r>
          <w:rPr>
            <w:rFonts w:ascii="Arial" w:hAnsi="Arial" w:cs="Arial"/>
            <w:color w:val="0070C0"/>
            <w:u w:val="single"/>
          </w:rPr>
          <w:t xml:space="preserve"> local authority relative</w:t>
        </w:r>
        <w:r w:rsidR="001017F3" w:rsidRPr="00F11E80">
          <w:rPr>
            <w:rFonts w:ascii="Arial" w:hAnsi="Arial" w:cs="Arial"/>
            <w:color w:val="0070C0"/>
            <w:u w:val="single"/>
          </w:rPr>
          <w:t xml:space="preserve"> </w:t>
        </w:r>
        <w:r>
          <w:rPr>
            <w:rFonts w:ascii="Arial" w:hAnsi="Arial" w:cs="Arial"/>
            <w:color w:val="0070C0"/>
            <w:u w:val="single"/>
          </w:rPr>
          <w:t>n</w:t>
        </w:r>
        <w:r w:rsidR="008D2A4A" w:rsidRPr="00F11E80">
          <w:rPr>
            <w:rFonts w:ascii="Arial" w:hAnsi="Arial" w:cs="Arial"/>
            <w:color w:val="0070C0"/>
            <w:u w:val="single"/>
          </w:rPr>
          <w:t>eeds</w:t>
        </w:r>
        <w:r w:rsidR="001017F3" w:rsidRPr="00F11E80">
          <w:rPr>
            <w:rFonts w:ascii="Arial" w:hAnsi="Arial" w:cs="Arial"/>
            <w:color w:val="0070C0"/>
            <w:u w:val="single"/>
          </w:rPr>
          <w:t xml:space="preserve"> and </w:t>
        </w:r>
        <w:r>
          <w:rPr>
            <w:rFonts w:ascii="Arial" w:hAnsi="Arial" w:cs="Arial"/>
            <w:color w:val="0070C0"/>
            <w:u w:val="single"/>
          </w:rPr>
          <w:t>r</w:t>
        </w:r>
        <w:r w:rsidR="008D2A4A" w:rsidRPr="00F11E80">
          <w:rPr>
            <w:rFonts w:ascii="Arial" w:hAnsi="Arial" w:cs="Arial"/>
            <w:color w:val="0070C0"/>
            <w:u w:val="single"/>
          </w:rPr>
          <w:t>esources</w:t>
        </w:r>
      </w:hyperlink>
      <w:r>
        <w:rPr>
          <w:rFonts w:ascii="Arial" w:hAnsi="Arial" w:cs="Arial"/>
          <w:color w:val="0070C0"/>
          <w:u w:val="single"/>
        </w:rPr>
        <w:t xml:space="preserve"> </w:t>
      </w:r>
      <w:r w:rsidRPr="00E53E80">
        <w:rPr>
          <w:rFonts w:ascii="Arial" w:hAnsi="Arial" w:cs="Arial"/>
        </w:rPr>
        <w:t>(commonly known as the ‘fair funding review’)</w:t>
      </w:r>
      <w:r w:rsidR="008D2A4A" w:rsidRPr="00E53E80">
        <w:rPr>
          <w:rFonts w:ascii="Arial" w:hAnsi="Arial" w:cs="Arial"/>
          <w:szCs w:val="22"/>
        </w:rPr>
        <w:t xml:space="preserve"> </w:t>
      </w:r>
      <w:r w:rsidR="008D2A4A" w:rsidRPr="00F11E80">
        <w:rPr>
          <w:rFonts w:ascii="Arial" w:hAnsi="Arial" w:cs="Arial"/>
          <w:szCs w:val="22"/>
        </w:rPr>
        <w:t>was published on 13 December</w:t>
      </w:r>
      <w:r w:rsidR="001017F3" w:rsidRPr="00F11E80">
        <w:rPr>
          <w:rFonts w:ascii="Arial" w:hAnsi="Arial" w:cs="Arial"/>
          <w:szCs w:val="22"/>
        </w:rPr>
        <w:t xml:space="preserve"> and closed</w:t>
      </w:r>
      <w:r w:rsidR="008D2A4A" w:rsidRPr="00F11E80">
        <w:rPr>
          <w:rFonts w:ascii="Arial" w:hAnsi="Arial" w:cs="Arial"/>
          <w:szCs w:val="22"/>
        </w:rPr>
        <w:t xml:space="preserve"> on 21 February 2019. </w:t>
      </w:r>
      <w:r w:rsidR="001017F3" w:rsidRPr="00F11E80">
        <w:rPr>
          <w:rFonts w:ascii="Arial" w:hAnsi="Arial" w:cs="Arial"/>
          <w:szCs w:val="22"/>
        </w:rPr>
        <w:t>The consultation had</w:t>
      </w:r>
      <w:r w:rsidR="008D2A4A" w:rsidRPr="00F11E80">
        <w:rPr>
          <w:rFonts w:ascii="Arial" w:hAnsi="Arial" w:cs="Arial"/>
          <w:szCs w:val="22"/>
        </w:rPr>
        <w:t xml:space="preserve"> three main strands</w:t>
      </w:r>
      <w:r w:rsidR="008D4F7D" w:rsidRPr="00F11E80">
        <w:rPr>
          <w:rFonts w:ascii="Arial" w:hAnsi="Arial" w:cs="Arial"/>
          <w:szCs w:val="22"/>
        </w:rPr>
        <w:t>; relative needs, relative resources and transition.</w:t>
      </w:r>
      <w:r w:rsidR="00CF005F">
        <w:rPr>
          <w:rFonts w:ascii="Arial" w:hAnsi="Arial" w:cs="Arial"/>
          <w:szCs w:val="22"/>
        </w:rPr>
        <w:t xml:space="preserve"> </w:t>
      </w:r>
      <w:r w:rsidR="00CF005F">
        <w:rPr>
          <w:rFonts w:ascii="Arial" w:hAnsi="Arial" w:cs="Arial"/>
        </w:rPr>
        <w:t>A final consultation on Fair Funding Review will be published this year, with final policy dec</w:t>
      </w:r>
      <w:r>
        <w:rPr>
          <w:rFonts w:ascii="Arial" w:hAnsi="Arial" w:cs="Arial"/>
        </w:rPr>
        <w:t>isions in a</w:t>
      </w:r>
      <w:r w:rsidR="00CF005F">
        <w:rPr>
          <w:rFonts w:ascii="Arial" w:hAnsi="Arial" w:cs="Arial"/>
        </w:rPr>
        <w:t>utumn 2019.</w:t>
      </w:r>
    </w:p>
    <w:p w14:paraId="7A5A5965" w14:textId="77777777" w:rsidR="0035643B" w:rsidRPr="00F11E80" w:rsidRDefault="0035643B" w:rsidP="0035643B">
      <w:pPr>
        <w:pStyle w:val="ListParagraph"/>
        <w:ind w:left="360"/>
        <w:rPr>
          <w:rFonts w:ascii="Arial" w:hAnsi="Arial" w:cs="Arial"/>
          <w:szCs w:val="22"/>
        </w:rPr>
      </w:pPr>
    </w:p>
    <w:p w14:paraId="5BC883F9" w14:textId="530541EB" w:rsidR="00F24B8E" w:rsidRPr="00F11E80" w:rsidRDefault="00F8588A" w:rsidP="008D2A4A">
      <w:pPr>
        <w:pStyle w:val="ListParagraph"/>
        <w:numPr>
          <w:ilvl w:val="0"/>
          <w:numId w:val="1"/>
        </w:numPr>
        <w:rPr>
          <w:rFonts w:ascii="Arial" w:hAnsi="Arial" w:cs="Arial"/>
          <w:szCs w:val="22"/>
        </w:rPr>
      </w:pPr>
      <w:r w:rsidRPr="00F11E80">
        <w:rPr>
          <w:rFonts w:ascii="Arial" w:hAnsi="Arial" w:cs="Arial"/>
          <w:szCs w:val="22"/>
        </w:rPr>
        <w:t>The</w:t>
      </w:r>
      <w:r w:rsidR="0035643B" w:rsidRPr="00F11E80">
        <w:rPr>
          <w:rFonts w:ascii="Arial" w:hAnsi="Arial" w:cs="Arial"/>
          <w:szCs w:val="22"/>
        </w:rPr>
        <w:t xml:space="preserve"> consultation cover</w:t>
      </w:r>
      <w:r w:rsidRPr="00F11E80">
        <w:rPr>
          <w:rFonts w:ascii="Arial" w:hAnsi="Arial" w:cs="Arial"/>
          <w:szCs w:val="22"/>
        </w:rPr>
        <w:t>ed</w:t>
      </w:r>
      <w:r w:rsidR="008D2A4A" w:rsidRPr="00F11E80">
        <w:rPr>
          <w:rFonts w:ascii="Arial" w:hAnsi="Arial" w:cs="Arial"/>
          <w:szCs w:val="22"/>
        </w:rPr>
        <w:t xml:space="preserve"> the Government’s leading options for the structure of the relative needs assessment</w:t>
      </w:r>
      <w:r w:rsidRPr="00F11E80">
        <w:rPr>
          <w:rFonts w:ascii="Arial" w:hAnsi="Arial" w:cs="Arial"/>
          <w:szCs w:val="22"/>
        </w:rPr>
        <w:t>:</w:t>
      </w:r>
    </w:p>
    <w:p w14:paraId="5916E025" w14:textId="77777777" w:rsidR="00F24B8E" w:rsidRPr="00F11E80" w:rsidRDefault="00F24B8E" w:rsidP="00F24B8E">
      <w:pPr>
        <w:rPr>
          <w:rFonts w:ascii="Arial" w:hAnsi="Arial" w:cs="Arial"/>
          <w:szCs w:val="22"/>
        </w:rPr>
      </w:pPr>
    </w:p>
    <w:p w14:paraId="398628E0" w14:textId="57980B99" w:rsidR="003C58EC" w:rsidRPr="00F11E80" w:rsidRDefault="008D2A4A" w:rsidP="00F86AD2">
      <w:pPr>
        <w:numPr>
          <w:ilvl w:val="1"/>
          <w:numId w:val="1"/>
        </w:numPr>
        <w:ind w:left="851"/>
        <w:contextualSpacing/>
        <w:rPr>
          <w:rFonts w:ascii="Arial" w:eastAsia="Calibri" w:hAnsi="Arial" w:cs="Arial"/>
          <w:szCs w:val="22"/>
        </w:rPr>
      </w:pPr>
      <w:r w:rsidRPr="00F11E80">
        <w:rPr>
          <w:rFonts w:ascii="Arial" w:eastAsia="Calibri" w:hAnsi="Arial" w:cs="Arial"/>
          <w:szCs w:val="22"/>
        </w:rPr>
        <w:t xml:space="preserve">a foundation formula </w:t>
      </w:r>
      <w:r w:rsidR="003C58EC" w:rsidRPr="00F11E80">
        <w:rPr>
          <w:rFonts w:ascii="Arial" w:eastAsia="Calibri" w:hAnsi="Arial" w:cs="Arial"/>
          <w:szCs w:val="22"/>
        </w:rPr>
        <w:t>based solely on population and an area cost adjustment;</w:t>
      </w:r>
    </w:p>
    <w:p w14:paraId="76D2FE38" w14:textId="77777777" w:rsidR="003C58EC" w:rsidRPr="00F11E80" w:rsidRDefault="003C58EC" w:rsidP="00F86AD2">
      <w:pPr>
        <w:ind w:left="851"/>
        <w:contextualSpacing/>
        <w:rPr>
          <w:rFonts w:ascii="Arial" w:eastAsia="Calibri" w:hAnsi="Arial" w:cs="Arial"/>
          <w:szCs w:val="22"/>
        </w:rPr>
      </w:pPr>
    </w:p>
    <w:p w14:paraId="35C6E46E" w14:textId="28404663" w:rsidR="003C58EC" w:rsidRPr="00F11E80" w:rsidRDefault="008D2A4A" w:rsidP="00F86AD2">
      <w:pPr>
        <w:numPr>
          <w:ilvl w:val="1"/>
          <w:numId w:val="1"/>
        </w:numPr>
        <w:ind w:left="851"/>
        <w:contextualSpacing/>
        <w:rPr>
          <w:rFonts w:ascii="Arial" w:eastAsia="Calibri" w:hAnsi="Arial" w:cs="Arial"/>
          <w:szCs w:val="22"/>
        </w:rPr>
      </w:pPr>
      <w:r w:rsidRPr="00F11E80">
        <w:rPr>
          <w:rFonts w:ascii="Arial" w:eastAsia="Calibri" w:hAnsi="Arial" w:cs="Arial"/>
          <w:szCs w:val="22"/>
        </w:rPr>
        <w:t xml:space="preserve">service specific formulae </w:t>
      </w:r>
      <w:r w:rsidR="003C58EC" w:rsidRPr="00F11E80">
        <w:rPr>
          <w:rFonts w:ascii="Arial" w:eastAsia="Calibri" w:hAnsi="Arial" w:cs="Arial"/>
          <w:szCs w:val="22"/>
        </w:rPr>
        <w:t>for</w:t>
      </w:r>
      <w:r w:rsidRPr="00F11E80">
        <w:rPr>
          <w:rFonts w:ascii="Arial" w:eastAsia="Calibri" w:hAnsi="Arial" w:cs="Arial"/>
          <w:szCs w:val="22"/>
        </w:rPr>
        <w:t xml:space="preserve"> adult social care, </w:t>
      </w:r>
      <w:r w:rsidR="00F24B8E" w:rsidRPr="00F11E80">
        <w:rPr>
          <w:rFonts w:ascii="Arial" w:eastAsia="Calibri" w:hAnsi="Arial" w:cs="Arial"/>
          <w:szCs w:val="22"/>
        </w:rPr>
        <w:t>children’s services, public health</w:t>
      </w:r>
      <w:r w:rsidR="003C58EC" w:rsidRPr="00F11E80">
        <w:rPr>
          <w:rFonts w:ascii="Arial" w:eastAsia="Calibri" w:hAnsi="Arial" w:cs="Arial"/>
          <w:szCs w:val="22"/>
        </w:rPr>
        <w:footnoteReference w:id="5"/>
      </w:r>
      <w:r w:rsidR="00F24B8E" w:rsidRPr="00F11E80">
        <w:rPr>
          <w:rFonts w:ascii="Arial" w:eastAsia="Calibri" w:hAnsi="Arial" w:cs="Arial"/>
          <w:szCs w:val="22"/>
        </w:rPr>
        <w:t>, highways maintenance, fire and rescue, legacy capital finance and flood</w:t>
      </w:r>
      <w:r w:rsidR="003C58EC" w:rsidRPr="00F11E80">
        <w:rPr>
          <w:rFonts w:ascii="Arial" w:eastAsia="Calibri" w:hAnsi="Arial" w:cs="Arial"/>
          <w:szCs w:val="22"/>
        </w:rPr>
        <w:t xml:space="preserve"> defence and coastal protection;</w:t>
      </w:r>
    </w:p>
    <w:p w14:paraId="2EFF927C" w14:textId="77777777" w:rsidR="003C58EC" w:rsidRPr="00F11E80" w:rsidRDefault="003C58EC" w:rsidP="00F86AD2">
      <w:pPr>
        <w:ind w:left="851"/>
        <w:contextualSpacing/>
        <w:rPr>
          <w:rFonts w:ascii="Arial" w:eastAsia="Calibri" w:hAnsi="Arial" w:cs="Arial"/>
          <w:szCs w:val="22"/>
        </w:rPr>
      </w:pPr>
    </w:p>
    <w:p w14:paraId="35FBBFFA" w14:textId="5C31D2AD" w:rsidR="00F24B8E" w:rsidRPr="00F11E80" w:rsidRDefault="003C58EC" w:rsidP="00F86AD2">
      <w:pPr>
        <w:numPr>
          <w:ilvl w:val="1"/>
          <w:numId w:val="1"/>
        </w:numPr>
        <w:ind w:left="851"/>
        <w:contextualSpacing/>
        <w:rPr>
          <w:rFonts w:ascii="Arial" w:eastAsia="Calibri" w:hAnsi="Arial" w:cs="Arial"/>
          <w:szCs w:val="22"/>
        </w:rPr>
      </w:pPr>
      <w:r w:rsidRPr="00F11E80">
        <w:rPr>
          <w:rFonts w:ascii="Arial" w:eastAsia="Calibri" w:hAnsi="Arial" w:cs="Arial"/>
          <w:szCs w:val="22"/>
        </w:rPr>
        <w:t>An area cost adjustment including an adjustment for labour costs, property costs, remoteness and journey times.</w:t>
      </w:r>
    </w:p>
    <w:p w14:paraId="49FF01A2" w14:textId="77777777" w:rsidR="0035643B" w:rsidRPr="00F11E80" w:rsidRDefault="0035643B" w:rsidP="0035643B">
      <w:pPr>
        <w:pStyle w:val="ListParagraph"/>
        <w:rPr>
          <w:rFonts w:ascii="Arial" w:hAnsi="Arial" w:cs="Arial"/>
          <w:szCs w:val="22"/>
        </w:rPr>
      </w:pPr>
    </w:p>
    <w:p w14:paraId="0FB603B7" w14:textId="152AE876" w:rsidR="003C58EC" w:rsidRPr="00F11E80" w:rsidRDefault="0035643B" w:rsidP="00F24B8E">
      <w:pPr>
        <w:pStyle w:val="ListParagraph"/>
        <w:numPr>
          <w:ilvl w:val="0"/>
          <w:numId w:val="1"/>
        </w:numPr>
        <w:rPr>
          <w:rFonts w:ascii="Arial" w:hAnsi="Arial" w:cs="Arial"/>
          <w:szCs w:val="22"/>
        </w:rPr>
      </w:pPr>
      <w:r w:rsidRPr="00F11E80">
        <w:rPr>
          <w:rFonts w:ascii="Arial" w:hAnsi="Arial" w:cs="Arial"/>
          <w:szCs w:val="22"/>
        </w:rPr>
        <w:t xml:space="preserve">On the relative resources assessment, the consultation </w:t>
      </w:r>
      <w:r w:rsidR="00F24B8E" w:rsidRPr="00F11E80">
        <w:rPr>
          <w:rFonts w:ascii="Arial" w:hAnsi="Arial" w:cs="Arial"/>
          <w:szCs w:val="22"/>
        </w:rPr>
        <w:t>covers</w:t>
      </w:r>
      <w:r w:rsidR="003C58EC" w:rsidRPr="00F11E80">
        <w:rPr>
          <w:rFonts w:ascii="Arial" w:hAnsi="Arial" w:cs="Arial"/>
          <w:szCs w:val="22"/>
        </w:rPr>
        <w:t>:</w:t>
      </w:r>
    </w:p>
    <w:p w14:paraId="6083E66A" w14:textId="77777777" w:rsidR="003C58EC" w:rsidRPr="00F11E80" w:rsidRDefault="003C58EC" w:rsidP="003C58EC">
      <w:pPr>
        <w:pStyle w:val="ListParagraph"/>
        <w:ind w:left="360"/>
        <w:rPr>
          <w:rFonts w:ascii="Arial" w:hAnsi="Arial" w:cs="Arial"/>
          <w:szCs w:val="22"/>
        </w:rPr>
      </w:pPr>
    </w:p>
    <w:p w14:paraId="1C07A739" w14:textId="68F2DB3F" w:rsidR="00550CB6" w:rsidRPr="00F11E80" w:rsidRDefault="00440ED2" w:rsidP="005459B7">
      <w:pPr>
        <w:numPr>
          <w:ilvl w:val="1"/>
          <w:numId w:val="1"/>
        </w:numPr>
        <w:ind w:left="993" w:hanging="574"/>
        <w:contextualSpacing/>
        <w:rPr>
          <w:rFonts w:ascii="Arial" w:eastAsia="Calibri" w:hAnsi="Arial" w:cs="Arial"/>
          <w:szCs w:val="22"/>
        </w:rPr>
      </w:pPr>
      <w:r w:rsidRPr="00F11E80">
        <w:rPr>
          <w:rFonts w:ascii="Arial" w:eastAsia="Calibri" w:hAnsi="Arial" w:cs="Arial"/>
          <w:szCs w:val="22"/>
        </w:rPr>
        <w:t>H</w:t>
      </w:r>
      <w:r w:rsidR="00550CB6" w:rsidRPr="00F11E80">
        <w:rPr>
          <w:rFonts w:ascii="Arial" w:eastAsia="Calibri" w:hAnsi="Arial" w:cs="Arial"/>
          <w:szCs w:val="22"/>
        </w:rPr>
        <w:t>o</w:t>
      </w:r>
      <w:r w:rsidR="003C58EC" w:rsidRPr="00F11E80">
        <w:rPr>
          <w:rFonts w:ascii="Arial" w:eastAsia="Calibri" w:hAnsi="Arial" w:cs="Arial"/>
          <w:szCs w:val="22"/>
        </w:rPr>
        <w:t xml:space="preserve">w to measure the council tax base </w:t>
      </w:r>
      <w:r w:rsidR="00F24B8E" w:rsidRPr="00F11E80">
        <w:rPr>
          <w:rFonts w:ascii="Arial" w:eastAsia="Calibri" w:hAnsi="Arial" w:cs="Arial"/>
          <w:szCs w:val="22"/>
        </w:rPr>
        <w:t>including treatment of discounts, exemptions, premiums and local council tax support</w:t>
      </w:r>
      <w:r w:rsidR="00550CB6" w:rsidRPr="00F11E80">
        <w:rPr>
          <w:rFonts w:ascii="Arial" w:eastAsia="Calibri" w:hAnsi="Arial" w:cs="Arial"/>
          <w:szCs w:val="22"/>
        </w:rPr>
        <w:t>;</w:t>
      </w:r>
    </w:p>
    <w:p w14:paraId="5E48F3D5" w14:textId="77777777" w:rsidR="00550CB6" w:rsidRPr="00F11E80" w:rsidRDefault="00550CB6" w:rsidP="005459B7">
      <w:pPr>
        <w:ind w:left="993" w:hanging="574"/>
        <w:contextualSpacing/>
        <w:rPr>
          <w:rFonts w:ascii="Arial" w:eastAsia="Calibri" w:hAnsi="Arial" w:cs="Arial"/>
          <w:szCs w:val="22"/>
        </w:rPr>
      </w:pPr>
    </w:p>
    <w:p w14:paraId="3A335252" w14:textId="54BEBA80" w:rsidR="00550CB6" w:rsidRPr="00F11E80" w:rsidRDefault="00440ED2" w:rsidP="005459B7">
      <w:pPr>
        <w:numPr>
          <w:ilvl w:val="1"/>
          <w:numId w:val="1"/>
        </w:numPr>
        <w:ind w:left="993" w:hanging="574"/>
        <w:contextualSpacing/>
        <w:rPr>
          <w:rFonts w:ascii="Arial" w:eastAsia="Calibri" w:hAnsi="Arial" w:cs="Arial"/>
          <w:szCs w:val="22"/>
        </w:rPr>
      </w:pPr>
      <w:r w:rsidRPr="00F11E80">
        <w:rPr>
          <w:rFonts w:ascii="Arial" w:eastAsia="Calibri" w:hAnsi="Arial" w:cs="Arial"/>
          <w:szCs w:val="22"/>
        </w:rPr>
        <w:t>T</w:t>
      </w:r>
      <w:r w:rsidR="00F24B8E" w:rsidRPr="00F11E80">
        <w:rPr>
          <w:rFonts w:ascii="Arial" w:eastAsia="Calibri" w:hAnsi="Arial" w:cs="Arial"/>
          <w:szCs w:val="22"/>
        </w:rPr>
        <w:t xml:space="preserve">he use of notional </w:t>
      </w:r>
      <w:r w:rsidR="00550CB6" w:rsidRPr="00F11E80">
        <w:rPr>
          <w:rFonts w:ascii="Arial" w:eastAsia="Calibri" w:hAnsi="Arial" w:cs="Arial"/>
          <w:szCs w:val="22"/>
        </w:rPr>
        <w:t>rather than actual council tax.</w:t>
      </w:r>
    </w:p>
    <w:p w14:paraId="7020643F" w14:textId="77777777" w:rsidR="00550CB6" w:rsidRPr="00F11E80" w:rsidRDefault="00550CB6" w:rsidP="005459B7">
      <w:pPr>
        <w:ind w:left="993" w:hanging="574"/>
        <w:contextualSpacing/>
        <w:rPr>
          <w:rFonts w:ascii="Arial" w:eastAsia="Calibri" w:hAnsi="Arial" w:cs="Arial"/>
          <w:szCs w:val="22"/>
        </w:rPr>
      </w:pPr>
    </w:p>
    <w:p w14:paraId="430EBCB9" w14:textId="3D0F7541" w:rsidR="00550CB6" w:rsidRPr="00F11E80" w:rsidRDefault="00440ED2" w:rsidP="005459B7">
      <w:pPr>
        <w:numPr>
          <w:ilvl w:val="1"/>
          <w:numId w:val="1"/>
        </w:numPr>
        <w:ind w:left="993" w:hanging="574"/>
        <w:contextualSpacing/>
        <w:rPr>
          <w:rFonts w:ascii="Arial" w:eastAsia="Calibri" w:hAnsi="Arial" w:cs="Arial"/>
          <w:szCs w:val="22"/>
        </w:rPr>
      </w:pPr>
      <w:r w:rsidRPr="00F11E80">
        <w:rPr>
          <w:rFonts w:ascii="Arial" w:eastAsia="Calibri" w:hAnsi="Arial" w:cs="Arial"/>
          <w:szCs w:val="22"/>
        </w:rPr>
        <w:t>W</w:t>
      </w:r>
      <w:r w:rsidR="00F24B8E" w:rsidRPr="00F11E80">
        <w:rPr>
          <w:rFonts w:ascii="Arial" w:eastAsia="Calibri" w:hAnsi="Arial" w:cs="Arial"/>
          <w:szCs w:val="22"/>
        </w:rPr>
        <w:t>hether to take into account actual or assumed council tax collection rates</w:t>
      </w:r>
      <w:r w:rsidR="00550CB6" w:rsidRPr="00F11E80">
        <w:rPr>
          <w:rFonts w:ascii="Arial" w:eastAsia="Calibri" w:hAnsi="Arial" w:cs="Arial"/>
          <w:szCs w:val="22"/>
        </w:rPr>
        <w:t>;</w:t>
      </w:r>
    </w:p>
    <w:p w14:paraId="49A2850A" w14:textId="77777777" w:rsidR="00550CB6" w:rsidRPr="00F11E80" w:rsidRDefault="00550CB6" w:rsidP="005459B7">
      <w:pPr>
        <w:ind w:left="993" w:hanging="574"/>
        <w:contextualSpacing/>
        <w:rPr>
          <w:rFonts w:ascii="Arial" w:eastAsia="Calibri" w:hAnsi="Arial" w:cs="Arial"/>
          <w:szCs w:val="22"/>
        </w:rPr>
      </w:pPr>
    </w:p>
    <w:p w14:paraId="0140B3AF" w14:textId="6B2C6D54" w:rsidR="0035643B" w:rsidRPr="00F11E80" w:rsidRDefault="00440ED2" w:rsidP="005459B7">
      <w:pPr>
        <w:numPr>
          <w:ilvl w:val="1"/>
          <w:numId w:val="1"/>
        </w:numPr>
        <w:ind w:left="993" w:hanging="574"/>
        <w:contextualSpacing/>
        <w:rPr>
          <w:rFonts w:ascii="Arial" w:eastAsia="Calibri" w:hAnsi="Arial" w:cs="Arial"/>
          <w:szCs w:val="22"/>
        </w:rPr>
      </w:pPr>
      <w:r w:rsidRPr="00F11E80">
        <w:rPr>
          <w:rFonts w:ascii="Arial" w:eastAsia="Calibri" w:hAnsi="Arial" w:cs="Arial"/>
          <w:szCs w:val="22"/>
        </w:rPr>
        <w:t>W</w:t>
      </w:r>
      <w:r w:rsidR="00F24B8E" w:rsidRPr="00F11E80">
        <w:rPr>
          <w:rFonts w:ascii="Arial" w:eastAsia="Calibri" w:hAnsi="Arial" w:cs="Arial"/>
          <w:szCs w:val="22"/>
        </w:rPr>
        <w:t>hether to project changes in the cou</w:t>
      </w:r>
      <w:r w:rsidR="00550CB6" w:rsidRPr="00F11E80">
        <w:rPr>
          <w:rFonts w:ascii="Arial" w:eastAsia="Calibri" w:hAnsi="Arial" w:cs="Arial"/>
          <w:szCs w:val="22"/>
        </w:rPr>
        <w:t>ncil tax over a number of years; and</w:t>
      </w:r>
    </w:p>
    <w:p w14:paraId="11EE42FE" w14:textId="77777777" w:rsidR="00F24B8E" w:rsidRPr="00F11E80" w:rsidRDefault="00F24B8E" w:rsidP="005459B7">
      <w:pPr>
        <w:ind w:left="993" w:hanging="574"/>
        <w:contextualSpacing/>
        <w:rPr>
          <w:rFonts w:ascii="Arial" w:eastAsia="Calibri" w:hAnsi="Arial" w:cs="Arial"/>
          <w:szCs w:val="22"/>
        </w:rPr>
      </w:pPr>
    </w:p>
    <w:p w14:paraId="3191513E" w14:textId="039428DF" w:rsidR="00F24B8E" w:rsidRPr="00F11E80" w:rsidRDefault="00440ED2" w:rsidP="005459B7">
      <w:pPr>
        <w:numPr>
          <w:ilvl w:val="1"/>
          <w:numId w:val="1"/>
        </w:numPr>
        <w:ind w:left="993" w:hanging="574"/>
        <w:contextualSpacing/>
        <w:rPr>
          <w:rFonts w:ascii="Arial" w:eastAsia="Calibri" w:hAnsi="Arial" w:cs="Arial"/>
          <w:szCs w:val="22"/>
        </w:rPr>
      </w:pPr>
      <w:r w:rsidRPr="00F11E80">
        <w:rPr>
          <w:rFonts w:ascii="Arial" w:eastAsia="Calibri" w:hAnsi="Arial" w:cs="Arial"/>
          <w:szCs w:val="22"/>
        </w:rPr>
        <w:t>Whether</w:t>
      </w:r>
      <w:r w:rsidR="00F24B8E" w:rsidRPr="00F11E80">
        <w:rPr>
          <w:rFonts w:ascii="Arial" w:eastAsia="Calibri" w:hAnsi="Arial" w:cs="Arial"/>
          <w:szCs w:val="22"/>
        </w:rPr>
        <w:t xml:space="preserve"> to include an assessment of fees and charges in the resources deduction.</w:t>
      </w:r>
    </w:p>
    <w:p w14:paraId="7D8D8A9B" w14:textId="083464CE" w:rsidR="00F24B8E" w:rsidRPr="00F11E80" w:rsidRDefault="00F24B8E" w:rsidP="00F86AD2">
      <w:pPr>
        <w:ind w:left="851"/>
        <w:contextualSpacing/>
        <w:rPr>
          <w:rFonts w:ascii="Arial" w:eastAsia="Calibri" w:hAnsi="Arial" w:cs="Arial"/>
          <w:szCs w:val="22"/>
        </w:rPr>
      </w:pPr>
    </w:p>
    <w:p w14:paraId="3C9CF976" w14:textId="699FA549" w:rsidR="0035643B" w:rsidRPr="00F11E80" w:rsidRDefault="00550CB6" w:rsidP="009C5037">
      <w:pPr>
        <w:pStyle w:val="ListParagraph"/>
        <w:numPr>
          <w:ilvl w:val="0"/>
          <w:numId w:val="1"/>
        </w:numPr>
        <w:rPr>
          <w:rFonts w:ascii="Arial" w:hAnsi="Arial" w:cs="Arial"/>
          <w:szCs w:val="22"/>
        </w:rPr>
      </w:pPr>
      <w:r w:rsidRPr="00F11E80">
        <w:rPr>
          <w:rFonts w:ascii="Arial" w:hAnsi="Arial" w:cs="Arial"/>
          <w:szCs w:val="22"/>
        </w:rPr>
        <w:t>O</w:t>
      </w:r>
      <w:r w:rsidR="00F24B8E" w:rsidRPr="00F11E80">
        <w:rPr>
          <w:rFonts w:ascii="Arial" w:hAnsi="Arial" w:cs="Arial"/>
          <w:szCs w:val="22"/>
        </w:rPr>
        <w:t>n t</w:t>
      </w:r>
      <w:r w:rsidR="0035643B" w:rsidRPr="00F11E80">
        <w:rPr>
          <w:rFonts w:ascii="Arial" w:hAnsi="Arial" w:cs="Arial"/>
          <w:szCs w:val="22"/>
        </w:rPr>
        <w:t>ransition, the consultation cover</w:t>
      </w:r>
      <w:r w:rsidR="009C5037" w:rsidRPr="00F11E80">
        <w:rPr>
          <w:rFonts w:ascii="Arial" w:hAnsi="Arial" w:cs="Arial"/>
          <w:szCs w:val="22"/>
        </w:rPr>
        <w:t xml:space="preserve">s the main principles underpinning </w:t>
      </w:r>
      <w:r w:rsidR="0035643B" w:rsidRPr="00F11E80">
        <w:rPr>
          <w:rFonts w:ascii="Arial" w:hAnsi="Arial" w:cs="Arial"/>
          <w:szCs w:val="22"/>
        </w:rPr>
        <w:t xml:space="preserve">the choices of transition mechanism, such as stability, speed, transparency and </w:t>
      </w:r>
      <w:r w:rsidR="009C5037" w:rsidRPr="00F11E80">
        <w:rPr>
          <w:rFonts w:ascii="Arial" w:hAnsi="Arial" w:cs="Arial"/>
          <w:szCs w:val="22"/>
        </w:rPr>
        <w:t>flexibility. The Government is of the view that the actual funding position for 2019/20 should form the starting point for the transition path, instead of a constr</w:t>
      </w:r>
      <w:r w:rsidRPr="00F11E80">
        <w:rPr>
          <w:rFonts w:ascii="Arial" w:hAnsi="Arial" w:cs="Arial"/>
          <w:szCs w:val="22"/>
        </w:rPr>
        <w:t>ucted notional set of baselines</w:t>
      </w:r>
      <w:r w:rsidR="009C5037" w:rsidRPr="00F11E80">
        <w:rPr>
          <w:rFonts w:ascii="Arial" w:hAnsi="Arial" w:cs="Arial"/>
          <w:szCs w:val="22"/>
        </w:rPr>
        <w:t>.</w:t>
      </w:r>
    </w:p>
    <w:p w14:paraId="051FDED9" w14:textId="77777777" w:rsidR="009C5037" w:rsidRPr="00F11E80" w:rsidRDefault="009C5037" w:rsidP="009C5037">
      <w:pPr>
        <w:pStyle w:val="ListParagraph"/>
        <w:rPr>
          <w:rFonts w:ascii="Arial" w:hAnsi="Arial" w:cs="Arial"/>
          <w:szCs w:val="22"/>
        </w:rPr>
      </w:pPr>
    </w:p>
    <w:p w14:paraId="697E1A01" w14:textId="38386CB2" w:rsidR="009C5037" w:rsidRPr="00F11E80" w:rsidRDefault="008C6AD0" w:rsidP="009C5037">
      <w:pPr>
        <w:pStyle w:val="ListParagraph"/>
        <w:numPr>
          <w:ilvl w:val="0"/>
          <w:numId w:val="1"/>
        </w:numPr>
        <w:rPr>
          <w:rFonts w:ascii="Arial" w:hAnsi="Arial" w:cs="Arial"/>
          <w:szCs w:val="22"/>
        </w:rPr>
      </w:pPr>
      <w:hyperlink r:id="rId21" w:history="1">
        <w:r w:rsidR="009C5037" w:rsidRPr="00565837">
          <w:rPr>
            <w:rStyle w:val="Hyperlink"/>
            <w:rFonts w:ascii="Arial" w:hAnsi="Arial" w:cs="Arial"/>
            <w:szCs w:val="22"/>
          </w:rPr>
          <w:t xml:space="preserve">The LGA response </w:t>
        </w:r>
        <w:r w:rsidR="00550CB6" w:rsidRPr="00565837">
          <w:rPr>
            <w:rStyle w:val="Hyperlink"/>
            <w:rFonts w:ascii="Arial" w:hAnsi="Arial" w:cs="Arial"/>
            <w:szCs w:val="22"/>
          </w:rPr>
          <w:t>to the consultation</w:t>
        </w:r>
      </w:hyperlink>
      <w:r w:rsidR="00550CB6" w:rsidRPr="00F11E80">
        <w:rPr>
          <w:rFonts w:ascii="Arial" w:hAnsi="Arial" w:cs="Arial"/>
          <w:szCs w:val="22"/>
        </w:rPr>
        <w:t xml:space="preserve"> </w:t>
      </w:r>
      <w:r w:rsidR="009C5037" w:rsidRPr="00F11E80">
        <w:rPr>
          <w:rFonts w:ascii="Arial" w:hAnsi="Arial" w:cs="Arial"/>
          <w:szCs w:val="22"/>
        </w:rPr>
        <w:t>was developed following discussion</w:t>
      </w:r>
      <w:r w:rsidR="00550CB6" w:rsidRPr="00F11E80">
        <w:rPr>
          <w:rFonts w:ascii="Arial" w:hAnsi="Arial" w:cs="Arial"/>
          <w:szCs w:val="22"/>
        </w:rPr>
        <w:t>s</w:t>
      </w:r>
      <w:r w:rsidR="009C5037" w:rsidRPr="00F11E80">
        <w:rPr>
          <w:rFonts w:ascii="Arial" w:hAnsi="Arial" w:cs="Arial"/>
          <w:szCs w:val="22"/>
        </w:rPr>
        <w:t xml:space="preserve"> at the </w:t>
      </w:r>
      <w:r w:rsidR="00550CB6" w:rsidRPr="00F11E80">
        <w:rPr>
          <w:rFonts w:ascii="Arial" w:hAnsi="Arial" w:cs="Arial"/>
          <w:szCs w:val="22"/>
        </w:rPr>
        <w:t xml:space="preserve">Task and Finish Group on </w:t>
      </w:r>
      <w:r w:rsidR="009C5037" w:rsidRPr="00F11E80">
        <w:rPr>
          <w:rFonts w:ascii="Arial" w:hAnsi="Arial" w:cs="Arial"/>
          <w:szCs w:val="22"/>
        </w:rPr>
        <w:t xml:space="preserve">Further Business Rates Retention and </w:t>
      </w:r>
      <w:r w:rsidR="009E2760" w:rsidRPr="00F11E80">
        <w:rPr>
          <w:rFonts w:ascii="Arial" w:hAnsi="Arial" w:cs="Arial"/>
          <w:szCs w:val="22"/>
        </w:rPr>
        <w:t xml:space="preserve">the </w:t>
      </w:r>
      <w:r w:rsidR="009C5037" w:rsidRPr="00F11E80">
        <w:rPr>
          <w:rFonts w:ascii="Arial" w:hAnsi="Arial" w:cs="Arial"/>
          <w:szCs w:val="22"/>
        </w:rPr>
        <w:t>Fair Funding</w:t>
      </w:r>
      <w:r w:rsidR="009E2760" w:rsidRPr="00F11E80">
        <w:rPr>
          <w:rFonts w:ascii="Arial" w:hAnsi="Arial" w:cs="Arial"/>
          <w:szCs w:val="22"/>
        </w:rPr>
        <w:t xml:space="preserve"> Review</w:t>
      </w:r>
      <w:r w:rsidR="00F11E80">
        <w:rPr>
          <w:rFonts w:ascii="Arial" w:hAnsi="Arial" w:cs="Arial"/>
          <w:szCs w:val="22"/>
        </w:rPr>
        <w:t xml:space="preserve">. </w:t>
      </w:r>
      <w:r w:rsidR="00550CB6" w:rsidRPr="00F11E80">
        <w:rPr>
          <w:rFonts w:ascii="Arial" w:hAnsi="Arial" w:cs="Arial"/>
          <w:szCs w:val="22"/>
        </w:rPr>
        <w:t xml:space="preserve">It </w:t>
      </w:r>
      <w:r w:rsidR="00550CB6" w:rsidRPr="00F11E80">
        <w:rPr>
          <w:rFonts w:ascii="Arial" w:hAnsi="Arial" w:cs="Arial"/>
          <w:szCs w:val="22"/>
        </w:rPr>
        <w:lastRenderedPageBreak/>
        <w:t>received the support of</w:t>
      </w:r>
      <w:r w:rsidR="009C5037" w:rsidRPr="00F11E80">
        <w:rPr>
          <w:rFonts w:ascii="Arial" w:hAnsi="Arial" w:cs="Arial"/>
          <w:szCs w:val="22"/>
        </w:rPr>
        <w:t xml:space="preserve"> Leadership Board and Executive at their January meetings and </w:t>
      </w:r>
      <w:r w:rsidR="009E2760" w:rsidRPr="00F11E80">
        <w:rPr>
          <w:rFonts w:ascii="Arial" w:hAnsi="Arial" w:cs="Arial"/>
          <w:szCs w:val="22"/>
        </w:rPr>
        <w:t>final</w:t>
      </w:r>
      <w:r w:rsidR="009C5037" w:rsidRPr="00F11E80">
        <w:rPr>
          <w:rFonts w:ascii="Arial" w:hAnsi="Arial" w:cs="Arial"/>
          <w:szCs w:val="22"/>
        </w:rPr>
        <w:t xml:space="preserve"> clear</w:t>
      </w:r>
      <w:r w:rsidR="009E2760" w:rsidRPr="00F11E80">
        <w:rPr>
          <w:rFonts w:ascii="Arial" w:hAnsi="Arial" w:cs="Arial"/>
          <w:szCs w:val="22"/>
        </w:rPr>
        <w:t>ance</w:t>
      </w:r>
      <w:r w:rsidR="009C5037" w:rsidRPr="00F11E80">
        <w:rPr>
          <w:rFonts w:ascii="Arial" w:hAnsi="Arial" w:cs="Arial"/>
          <w:szCs w:val="22"/>
        </w:rPr>
        <w:t xml:space="preserve"> by the Chairman and Group Leaders. </w:t>
      </w:r>
      <w:r w:rsidR="00550CB6" w:rsidRPr="00F11E80">
        <w:rPr>
          <w:rFonts w:ascii="Arial" w:hAnsi="Arial" w:cs="Arial"/>
          <w:szCs w:val="22"/>
        </w:rPr>
        <w:t>In summary</w:t>
      </w:r>
      <w:r w:rsidR="00F11E80" w:rsidRPr="00F11E80">
        <w:rPr>
          <w:rFonts w:ascii="Arial" w:hAnsi="Arial" w:cs="Arial"/>
          <w:szCs w:val="22"/>
        </w:rPr>
        <w:t>,</w:t>
      </w:r>
      <w:r w:rsidR="00550CB6" w:rsidRPr="00F11E80">
        <w:rPr>
          <w:rFonts w:ascii="Arial" w:hAnsi="Arial" w:cs="Arial"/>
          <w:szCs w:val="22"/>
        </w:rPr>
        <w:t xml:space="preserve"> the </w:t>
      </w:r>
      <w:r w:rsidR="000B36A3" w:rsidRPr="00F11E80">
        <w:rPr>
          <w:rFonts w:ascii="Arial" w:hAnsi="Arial" w:cs="Arial"/>
          <w:szCs w:val="22"/>
        </w:rPr>
        <w:t>LGA</w:t>
      </w:r>
      <w:r w:rsidR="00550CB6" w:rsidRPr="00F11E80">
        <w:rPr>
          <w:rFonts w:ascii="Arial" w:hAnsi="Arial" w:cs="Arial"/>
          <w:szCs w:val="22"/>
        </w:rPr>
        <w:t>:</w:t>
      </w:r>
    </w:p>
    <w:p w14:paraId="32656A33" w14:textId="77777777" w:rsidR="009C5037" w:rsidRPr="00F11E80" w:rsidRDefault="009C5037" w:rsidP="00322D77">
      <w:pPr>
        <w:pStyle w:val="ListParagraph"/>
        <w:ind w:left="360"/>
        <w:rPr>
          <w:rFonts w:ascii="Arial" w:hAnsi="Arial" w:cs="Arial"/>
          <w:szCs w:val="22"/>
        </w:rPr>
      </w:pPr>
    </w:p>
    <w:p w14:paraId="49E717D2" w14:textId="38A975A0" w:rsidR="00F86AD2" w:rsidRPr="00F11E80" w:rsidRDefault="00F86AD2" w:rsidP="005459B7">
      <w:pPr>
        <w:numPr>
          <w:ilvl w:val="1"/>
          <w:numId w:val="1"/>
        </w:numPr>
        <w:ind w:left="1134" w:hanging="715"/>
        <w:contextualSpacing/>
        <w:rPr>
          <w:rFonts w:ascii="Arial" w:eastAsia="Calibri" w:hAnsi="Arial" w:cs="Arial"/>
          <w:szCs w:val="22"/>
        </w:rPr>
      </w:pPr>
      <w:r w:rsidRPr="00F11E80">
        <w:rPr>
          <w:rFonts w:ascii="Arial" w:eastAsia="Calibri" w:hAnsi="Arial" w:cs="Arial"/>
          <w:szCs w:val="22"/>
        </w:rPr>
        <w:t>Points out the current s</w:t>
      </w:r>
      <w:r w:rsidR="009C5037" w:rsidRPr="00F11E80">
        <w:rPr>
          <w:rFonts w:ascii="Arial" w:eastAsia="Calibri" w:hAnsi="Arial" w:cs="Arial"/>
          <w:szCs w:val="22"/>
        </w:rPr>
        <w:t xml:space="preserve">ystem is opaque, </w:t>
      </w:r>
      <w:r w:rsidR="00BB269E" w:rsidRPr="00F11E80">
        <w:rPr>
          <w:rFonts w:ascii="Arial" w:eastAsia="Calibri" w:hAnsi="Arial" w:cs="Arial"/>
          <w:szCs w:val="22"/>
        </w:rPr>
        <w:t>overly complex and out of date;</w:t>
      </w:r>
    </w:p>
    <w:p w14:paraId="7D8382AF" w14:textId="77777777" w:rsidR="00F86AD2" w:rsidRPr="00F11E80" w:rsidRDefault="00F86AD2" w:rsidP="005459B7">
      <w:pPr>
        <w:ind w:left="1134" w:hanging="715"/>
        <w:contextualSpacing/>
        <w:rPr>
          <w:rFonts w:ascii="Arial" w:eastAsia="Calibri" w:hAnsi="Arial" w:cs="Arial"/>
          <w:szCs w:val="22"/>
        </w:rPr>
      </w:pPr>
    </w:p>
    <w:p w14:paraId="35E993AF" w14:textId="10D91955" w:rsidR="00493B75" w:rsidRPr="00F11E80" w:rsidRDefault="00F86AD2" w:rsidP="005459B7">
      <w:pPr>
        <w:numPr>
          <w:ilvl w:val="1"/>
          <w:numId w:val="1"/>
        </w:numPr>
        <w:ind w:left="1134" w:hanging="715"/>
        <w:contextualSpacing/>
        <w:rPr>
          <w:rFonts w:ascii="Arial" w:eastAsia="Calibri" w:hAnsi="Arial" w:cs="Arial"/>
          <w:szCs w:val="22"/>
        </w:rPr>
      </w:pPr>
      <w:r w:rsidRPr="00F11E80">
        <w:rPr>
          <w:rFonts w:ascii="Arial" w:eastAsia="Calibri" w:hAnsi="Arial" w:cs="Arial"/>
          <w:szCs w:val="22"/>
        </w:rPr>
        <w:t xml:space="preserve">Recommends </w:t>
      </w:r>
      <w:r w:rsidR="009C5037" w:rsidRPr="00F11E80">
        <w:rPr>
          <w:rFonts w:ascii="Arial" w:eastAsia="Calibri" w:hAnsi="Arial" w:cs="Arial"/>
          <w:szCs w:val="22"/>
        </w:rPr>
        <w:t>the Government is transparent and provides sufficient evidence behind its decisions</w:t>
      </w:r>
      <w:r w:rsidR="00BB269E" w:rsidRPr="00F11E80">
        <w:rPr>
          <w:rFonts w:ascii="Arial" w:eastAsia="Calibri" w:hAnsi="Arial" w:cs="Arial"/>
          <w:szCs w:val="22"/>
        </w:rPr>
        <w:t xml:space="preserve"> to ensure credibility including the </w:t>
      </w:r>
      <w:r w:rsidR="005C5997" w:rsidRPr="00F11E80">
        <w:rPr>
          <w:rFonts w:ascii="Arial" w:eastAsia="Calibri" w:hAnsi="Arial" w:cs="Arial"/>
          <w:szCs w:val="22"/>
        </w:rPr>
        <w:t xml:space="preserve">more details on the evidence behind the </w:t>
      </w:r>
      <w:r w:rsidR="00BB269E" w:rsidRPr="00F11E80">
        <w:rPr>
          <w:rFonts w:ascii="Arial" w:eastAsia="Calibri" w:hAnsi="Arial" w:cs="Arial"/>
          <w:szCs w:val="22"/>
        </w:rPr>
        <w:t>proposals in the consultation paper;</w:t>
      </w:r>
    </w:p>
    <w:p w14:paraId="5D8AC9EA" w14:textId="77777777" w:rsidR="009C5037" w:rsidRPr="00F11E80" w:rsidRDefault="009C5037" w:rsidP="005459B7">
      <w:pPr>
        <w:ind w:left="1134" w:hanging="715"/>
        <w:contextualSpacing/>
        <w:rPr>
          <w:rFonts w:ascii="Arial" w:eastAsia="Calibri" w:hAnsi="Arial" w:cs="Arial"/>
          <w:szCs w:val="22"/>
        </w:rPr>
      </w:pPr>
    </w:p>
    <w:p w14:paraId="43F856B3" w14:textId="457FC819" w:rsidR="00440ED2" w:rsidRPr="00F11E80" w:rsidRDefault="00440ED2" w:rsidP="005459B7">
      <w:pPr>
        <w:numPr>
          <w:ilvl w:val="1"/>
          <w:numId w:val="1"/>
        </w:numPr>
        <w:ind w:left="1134" w:hanging="715"/>
        <w:contextualSpacing/>
        <w:rPr>
          <w:rFonts w:ascii="Arial" w:eastAsia="Calibri" w:hAnsi="Arial" w:cs="Arial"/>
          <w:szCs w:val="22"/>
        </w:rPr>
      </w:pPr>
      <w:r w:rsidRPr="00F11E80">
        <w:rPr>
          <w:rFonts w:ascii="Arial" w:eastAsia="Calibri" w:hAnsi="Arial" w:cs="Arial"/>
          <w:szCs w:val="22"/>
        </w:rPr>
        <w:t>Disagre</w:t>
      </w:r>
      <w:r w:rsidR="005C5997" w:rsidRPr="00F11E80">
        <w:rPr>
          <w:rFonts w:ascii="Arial" w:eastAsia="Calibri" w:hAnsi="Arial" w:cs="Arial"/>
          <w:szCs w:val="22"/>
        </w:rPr>
        <w:t>es that the reviews should be</w:t>
      </w:r>
      <w:r w:rsidRPr="00F11E80">
        <w:rPr>
          <w:rFonts w:ascii="Arial" w:eastAsia="Calibri" w:hAnsi="Arial" w:cs="Arial"/>
          <w:szCs w:val="22"/>
        </w:rPr>
        <w:t xml:space="preserve"> revenue neutral and recommends that </w:t>
      </w:r>
      <w:r w:rsidR="009C5037" w:rsidRPr="00F11E80">
        <w:rPr>
          <w:rFonts w:ascii="Arial" w:eastAsia="Calibri" w:hAnsi="Arial" w:cs="Arial"/>
          <w:szCs w:val="22"/>
        </w:rPr>
        <w:t>additional funding</w:t>
      </w:r>
      <w:r w:rsidRPr="00F11E80">
        <w:rPr>
          <w:rFonts w:ascii="Arial" w:eastAsia="Calibri" w:hAnsi="Arial" w:cs="Arial"/>
          <w:szCs w:val="22"/>
        </w:rPr>
        <w:t xml:space="preserve"> is needed when the outcome of the Review is implemented</w:t>
      </w:r>
      <w:r w:rsidR="00BB269E" w:rsidRPr="00F11E80">
        <w:rPr>
          <w:rFonts w:ascii="Arial" w:eastAsia="Calibri" w:hAnsi="Arial" w:cs="Arial"/>
          <w:szCs w:val="22"/>
        </w:rPr>
        <w:t>;</w:t>
      </w:r>
    </w:p>
    <w:p w14:paraId="3AB6028A" w14:textId="77777777" w:rsidR="00440ED2" w:rsidRPr="00F11E80" w:rsidRDefault="00440ED2" w:rsidP="005459B7">
      <w:pPr>
        <w:pStyle w:val="ListParagraph"/>
        <w:ind w:left="1134" w:hanging="715"/>
        <w:rPr>
          <w:rFonts w:ascii="Arial" w:eastAsia="Calibri" w:hAnsi="Arial" w:cs="Arial"/>
          <w:szCs w:val="22"/>
        </w:rPr>
      </w:pPr>
    </w:p>
    <w:p w14:paraId="172C642A" w14:textId="77777777" w:rsidR="00BB269E" w:rsidRPr="00F11E80" w:rsidRDefault="00440ED2" w:rsidP="005459B7">
      <w:pPr>
        <w:numPr>
          <w:ilvl w:val="1"/>
          <w:numId w:val="1"/>
        </w:numPr>
        <w:ind w:left="1134" w:hanging="715"/>
        <w:contextualSpacing/>
        <w:rPr>
          <w:rFonts w:ascii="Arial" w:eastAsia="Calibri" w:hAnsi="Arial" w:cs="Arial"/>
          <w:szCs w:val="22"/>
        </w:rPr>
      </w:pPr>
      <w:r w:rsidRPr="00F11E80">
        <w:rPr>
          <w:rFonts w:ascii="Arial" w:eastAsia="Calibri" w:hAnsi="Arial" w:cs="Arial"/>
          <w:szCs w:val="22"/>
        </w:rPr>
        <w:t xml:space="preserve">Asks the Government to meet </w:t>
      </w:r>
      <w:r w:rsidR="009C5037" w:rsidRPr="00F11E80">
        <w:rPr>
          <w:rFonts w:ascii="Arial" w:eastAsia="Calibri" w:hAnsi="Arial" w:cs="Arial"/>
          <w:szCs w:val="22"/>
        </w:rPr>
        <w:t xml:space="preserve">£8 billion funding gap </w:t>
      </w:r>
      <w:r w:rsidRPr="00F11E80">
        <w:rPr>
          <w:rFonts w:ascii="Arial" w:eastAsia="Calibri" w:hAnsi="Arial" w:cs="Arial"/>
          <w:szCs w:val="22"/>
        </w:rPr>
        <w:t xml:space="preserve">facing councils </w:t>
      </w:r>
      <w:r w:rsidR="009C5037" w:rsidRPr="00F11E80">
        <w:rPr>
          <w:rFonts w:ascii="Arial" w:eastAsia="Calibri" w:hAnsi="Arial" w:cs="Arial"/>
          <w:szCs w:val="22"/>
        </w:rPr>
        <w:t>by 2024/25, with £3.1 billion in 2019/20</w:t>
      </w:r>
      <w:r w:rsidR="00BB269E" w:rsidRPr="00F11E80">
        <w:rPr>
          <w:rFonts w:ascii="Arial" w:eastAsia="Calibri" w:hAnsi="Arial" w:cs="Arial"/>
          <w:szCs w:val="22"/>
        </w:rPr>
        <w:t>;</w:t>
      </w:r>
    </w:p>
    <w:p w14:paraId="593AA7E5" w14:textId="77777777" w:rsidR="00BB269E" w:rsidRDefault="00BB269E" w:rsidP="005459B7">
      <w:pPr>
        <w:pStyle w:val="ListParagraph"/>
        <w:ind w:left="1134" w:hanging="715"/>
        <w:rPr>
          <w:rFonts w:ascii="Arial" w:eastAsia="Calibri" w:hAnsi="Arial" w:cs="Arial"/>
          <w:szCs w:val="22"/>
        </w:rPr>
      </w:pPr>
    </w:p>
    <w:p w14:paraId="6194B26E" w14:textId="050853AC" w:rsidR="009C5037" w:rsidRPr="009C5037" w:rsidRDefault="00BB269E" w:rsidP="005459B7">
      <w:pPr>
        <w:numPr>
          <w:ilvl w:val="1"/>
          <w:numId w:val="1"/>
        </w:numPr>
        <w:ind w:left="1134" w:hanging="715"/>
        <w:contextualSpacing/>
        <w:rPr>
          <w:rFonts w:ascii="Arial" w:hAnsi="Arial" w:cs="Arial"/>
          <w:szCs w:val="22"/>
        </w:rPr>
      </w:pPr>
      <w:r w:rsidRPr="00BB269E">
        <w:rPr>
          <w:rFonts w:ascii="Arial" w:eastAsia="Calibri" w:hAnsi="Arial" w:cs="Arial"/>
          <w:szCs w:val="22"/>
        </w:rPr>
        <w:t xml:space="preserve">Seeks </w:t>
      </w:r>
      <w:r w:rsidR="009C5037" w:rsidRPr="00BB269E">
        <w:rPr>
          <w:rFonts w:ascii="Arial" w:eastAsia="Calibri" w:hAnsi="Arial" w:cs="Arial"/>
          <w:szCs w:val="22"/>
        </w:rPr>
        <w:t>clarity over funding for local authorities</w:t>
      </w:r>
      <w:r>
        <w:rPr>
          <w:rFonts w:ascii="Arial" w:eastAsia="Calibri" w:hAnsi="Arial" w:cs="Arial"/>
          <w:szCs w:val="22"/>
        </w:rPr>
        <w:t xml:space="preserve"> from April 2020</w:t>
      </w:r>
      <w:r w:rsidR="009C5037" w:rsidRPr="00BB269E">
        <w:rPr>
          <w:rFonts w:ascii="Arial" w:eastAsia="Calibri" w:hAnsi="Arial" w:cs="Arial"/>
          <w:szCs w:val="22"/>
        </w:rPr>
        <w:t>.</w:t>
      </w:r>
    </w:p>
    <w:p w14:paraId="2D7829B3" w14:textId="77777777" w:rsidR="00DE4D99" w:rsidRDefault="00DE4D99" w:rsidP="005459B7">
      <w:pPr>
        <w:pStyle w:val="ListParagraph"/>
        <w:ind w:left="1134" w:hanging="715"/>
        <w:rPr>
          <w:rFonts w:ascii="Arial" w:hAnsi="Arial" w:cs="Arial"/>
          <w:szCs w:val="22"/>
        </w:rPr>
      </w:pPr>
    </w:p>
    <w:p w14:paraId="22117EF7" w14:textId="77777777" w:rsidR="005C5997" w:rsidRDefault="005C5997" w:rsidP="005459B7">
      <w:pPr>
        <w:numPr>
          <w:ilvl w:val="1"/>
          <w:numId w:val="1"/>
        </w:numPr>
        <w:ind w:left="1134" w:hanging="715"/>
        <w:contextualSpacing/>
        <w:rPr>
          <w:rFonts w:ascii="Arial" w:eastAsia="Calibri" w:hAnsi="Arial" w:cs="Arial"/>
          <w:szCs w:val="22"/>
        </w:rPr>
      </w:pPr>
      <w:r>
        <w:rPr>
          <w:rFonts w:ascii="Arial" w:eastAsia="Calibri" w:hAnsi="Arial" w:cs="Arial"/>
          <w:szCs w:val="22"/>
        </w:rPr>
        <w:t xml:space="preserve">Supports simplicity </w:t>
      </w:r>
      <w:r w:rsidR="009C5037" w:rsidRPr="005C5997">
        <w:rPr>
          <w:rFonts w:ascii="Arial" w:eastAsia="Calibri" w:hAnsi="Arial" w:cs="Arial"/>
          <w:szCs w:val="22"/>
        </w:rPr>
        <w:t>but not at a disproportionate cost to accuracy</w:t>
      </w:r>
      <w:r>
        <w:rPr>
          <w:rFonts w:ascii="Arial" w:eastAsia="Calibri" w:hAnsi="Arial" w:cs="Arial"/>
          <w:szCs w:val="22"/>
        </w:rPr>
        <w:t>.</w:t>
      </w:r>
    </w:p>
    <w:p w14:paraId="0CB38207" w14:textId="77777777" w:rsidR="005C5997" w:rsidRDefault="005C5997" w:rsidP="005459B7">
      <w:pPr>
        <w:pStyle w:val="ListParagraph"/>
        <w:ind w:left="1134" w:hanging="715"/>
        <w:rPr>
          <w:rFonts w:ascii="Arial" w:eastAsia="Calibri" w:hAnsi="Arial" w:cs="Arial"/>
          <w:szCs w:val="22"/>
        </w:rPr>
      </w:pPr>
    </w:p>
    <w:p w14:paraId="50E7F204" w14:textId="522C44D1" w:rsidR="009C5037" w:rsidRPr="005C5997" w:rsidRDefault="005C5997" w:rsidP="005459B7">
      <w:pPr>
        <w:numPr>
          <w:ilvl w:val="1"/>
          <w:numId w:val="1"/>
        </w:numPr>
        <w:ind w:left="1134" w:hanging="715"/>
        <w:contextualSpacing/>
        <w:rPr>
          <w:rFonts w:ascii="Arial" w:eastAsia="Calibri" w:hAnsi="Arial" w:cs="Arial"/>
          <w:szCs w:val="22"/>
        </w:rPr>
      </w:pPr>
      <w:r>
        <w:rPr>
          <w:rFonts w:ascii="Arial" w:eastAsia="Calibri" w:hAnsi="Arial" w:cs="Arial"/>
          <w:szCs w:val="22"/>
        </w:rPr>
        <w:t>Supports deprivation being included in the foundation formula with the weighting being derived by the evidence;</w:t>
      </w:r>
    </w:p>
    <w:p w14:paraId="586D0BFC" w14:textId="77777777" w:rsidR="00DE4D99" w:rsidRPr="00BB269E" w:rsidRDefault="00DE4D99" w:rsidP="005459B7">
      <w:pPr>
        <w:ind w:left="1134" w:hanging="715"/>
        <w:contextualSpacing/>
        <w:rPr>
          <w:rFonts w:ascii="Arial" w:eastAsia="Calibri" w:hAnsi="Arial" w:cs="Arial"/>
          <w:szCs w:val="22"/>
        </w:rPr>
      </w:pPr>
    </w:p>
    <w:p w14:paraId="5628AA76" w14:textId="475F793D" w:rsidR="00DE4D99" w:rsidRPr="00BB269E" w:rsidRDefault="005C5997" w:rsidP="005459B7">
      <w:pPr>
        <w:numPr>
          <w:ilvl w:val="1"/>
          <w:numId w:val="1"/>
        </w:numPr>
        <w:ind w:left="1134" w:hanging="715"/>
        <w:contextualSpacing/>
        <w:rPr>
          <w:rFonts w:ascii="Arial" w:eastAsia="Calibri" w:hAnsi="Arial" w:cs="Arial"/>
          <w:szCs w:val="22"/>
        </w:rPr>
      </w:pPr>
      <w:r>
        <w:rPr>
          <w:rFonts w:ascii="Arial" w:eastAsia="Calibri" w:hAnsi="Arial" w:cs="Arial"/>
          <w:szCs w:val="22"/>
        </w:rPr>
        <w:t>Expresses disappointment</w:t>
      </w:r>
      <w:r w:rsidR="00DE4D99" w:rsidRPr="00BB269E">
        <w:rPr>
          <w:rFonts w:ascii="Arial" w:eastAsia="Calibri" w:hAnsi="Arial" w:cs="Arial"/>
          <w:szCs w:val="22"/>
        </w:rPr>
        <w:t xml:space="preserve"> at the continued uncertainty over the future o</w:t>
      </w:r>
      <w:r>
        <w:rPr>
          <w:rFonts w:ascii="Arial" w:eastAsia="Calibri" w:hAnsi="Arial" w:cs="Arial"/>
          <w:szCs w:val="22"/>
        </w:rPr>
        <w:t>f the funding of public health.</w:t>
      </w:r>
    </w:p>
    <w:p w14:paraId="7B9269B8" w14:textId="77777777" w:rsidR="00DE4D99" w:rsidRPr="00DE4D99" w:rsidRDefault="00DE4D99" w:rsidP="005459B7">
      <w:pPr>
        <w:pStyle w:val="ListParagraph"/>
        <w:ind w:left="1134" w:hanging="715"/>
        <w:rPr>
          <w:rFonts w:ascii="Arial" w:hAnsi="Arial" w:cs="Arial"/>
          <w:szCs w:val="22"/>
        </w:rPr>
      </w:pPr>
    </w:p>
    <w:p w14:paraId="5593BFEF" w14:textId="77777777" w:rsidR="00ED5722" w:rsidRDefault="00ED5722" w:rsidP="005459B7">
      <w:pPr>
        <w:numPr>
          <w:ilvl w:val="1"/>
          <w:numId w:val="1"/>
        </w:numPr>
        <w:ind w:left="1134" w:hanging="715"/>
        <w:contextualSpacing/>
        <w:rPr>
          <w:rFonts w:ascii="Arial" w:eastAsia="Calibri" w:hAnsi="Arial" w:cs="Arial"/>
          <w:szCs w:val="22"/>
        </w:rPr>
      </w:pPr>
      <w:r>
        <w:rPr>
          <w:rFonts w:ascii="Arial" w:eastAsia="Calibri" w:hAnsi="Arial" w:cs="Arial"/>
          <w:szCs w:val="22"/>
        </w:rPr>
        <w:t>A</w:t>
      </w:r>
      <w:r w:rsidR="00DE4D99" w:rsidRPr="00920C5A">
        <w:rPr>
          <w:rFonts w:ascii="Arial" w:eastAsia="Calibri" w:hAnsi="Arial" w:cs="Arial"/>
          <w:szCs w:val="22"/>
        </w:rPr>
        <w:t>gree</w:t>
      </w:r>
      <w:r>
        <w:rPr>
          <w:rFonts w:ascii="Arial" w:eastAsia="Calibri" w:hAnsi="Arial" w:cs="Arial"/>
          <w:szCs w:val="22"/>
        </w:rPr>
        <w:t>s</w:t>
      </w:r>
      <w:r w:rsidR="00DE4D99" w:rsidRPr="00920C5A">
        <w:rPr>
          <w:rFonts w:ascii="Arial" w:eastAsia="Calibri" w:hAnsi="Arial" w:cs="Arial"/>
          <w:szCs w:val="22"/>
        </w:rPr>
        <w:t xml:space="preserve"> the government should continue to take account of non-discretionary council tax exemptions</w:t>
      </w:r>
    </w:p>
    <w:p w14:paraId="7F021729" w14:textId="77777777" w:rsidR="00ED5722" w:rsidRDefault="00ED5722" w:rsidP="005459B7">
      <w:pPr>
        <w:pStyle w:val="ListParagraph"/>
        <w:ind w:left="1134" w:hanging="715"/>
        <w:rPr>
          <w:rFonts w:ascii="Arial" w:eastAsia="Calibri" w:hAnsi="Arial" w:cs="Arial"/>
          <w:szCs w:val="22"/>
        </w:rPr>
      </w:pPr>
    </w:p>
    <w:p w14:paraId="1DCDA874" w14:textId="77777777" w:rsidR="00ED5722" w:rsidRDefault="00ED5722" w:rsidP="005459B7">
      <w:pPr>
        <w:numPr>
          <w:ilvl w:val="1"/>
          <w:numId w:val="1"/>
        </w:numPr>
        <w:ind w:left="1134" w:hanging="715"/>
        <w:contextualSpacing/>
        <w:rPr>
          <w:rFonts w:ascii="Arial" w:eastAsia="Calibri" w:hAnsi="Arial" w:cs="Arial"/>
          <w:szCs w:val="22"/>
        </w:rPr>
      </w:pPr>
      <w:r>
        <w:rPr>
          <w:rFonts w:ascii="Arial" w:eastAsia="Calibri" w:hAnsi="Arial" w:cs="Arial"/>
          <w:szCs w:val="22"/>
        </w:rPr>
        <w:t>Recommends</w:t>
      </w:r>
      <w:r w:rsidR="00DE4D99" w:rsidRPr="00920C5A">
        <w:rPr>
          <w:rFonts w:ascii="Arial" w:eastAsia="Calibri" w:hAnsi="Arial" w:cs="Arial"/>
          <w:szCs w:val="22"/>
        </w:rPr>
        <w:t xml:space="preserve"> no discretionary discounts or premiums should be adjusted for</w:t>
      </w:r>
      <w:r>
        <w:rPr>
          <w:rFonts w:ascii="Arial" w:eastAsia="Calibri" w:hAnsi="Arial" w:cs="Arial"/>
          <w:szCs w:val="22"/>
        </w:rPr>
        <w:t xml:space="preserve"> (other than working age council tax support).</w:t>
      </w:r>
    </w:p>
    <w:p w14:paraId="03C75900" w14:textId="77777777" w:rsidR="00ED5722" w:rsidRDefault="00ED5722" w:rsidP="005459B7">
      <w:pPr>
        <w:pStyle w:val="ListParagraph"/>
        <w:ind w:left="1134" w:hanging="715"/>
        <w:rPr>
          <w:rFonts w:ascii="Arial" w:eastAsia="Calibri" w:hAnsi="Arial" w:cs="Arial"/>
          <w:szCs w:val="22"/>
        </w:rPr>
      </w:pPr>
    </w:p>
    <w:p w14:paraId="01F07E21" w14:textId="20F6ED85" w:rsidR="00ED5722" w:rsidRDefault="00ED5722" w:rsidP="005459B7">
      <w:pPr>
        <w:numPr>
          <w:ilvl w:val="1"/>
          <w:numId w:val="1"/>
        </w:numPr>
        <w:ind w:left="1134" w:hanging="715"/>
        <w:contextualSpacing/>
        <w:rPr>
          <w:rFonts w:ascii="Arial" w:eastAsia="Calibri" w:hAnsi="Arial" w:cs="Arial"/>
          <w:szCs w:val="22"/>
        </w:rPr>
      </w:pPr>
      <w:r>
        <w:rPr>
          <w:rFonts w:ascii="Arial" w:eastAsia="Calibri" w:hAnsi="Arial" w:cs="Arial"/>
          <w:szCs w:val="22"/>
        </w:rPr>
        <w:t xml:space="preserve">Agrees </w:t>
      </w:r>
      <w:r w:rsidR="00322D77" w:rsidRPr="00920C5A">
        <w:rPr>
          <w:rFonts w:ascii="Arial" w:eastAsia="Calibri" w:hAnsi="Arial" w:cs="Arial"/>
          <w:szCs w:val="22"/>
        </w:rPr>
        <w:t xml:space="preserve"> with the use</w:t>
      </w:r>
      <w:r>
        <w:rPr>
          <w:rFonts w:ascii="Arial" w:eastAsia="Calibri" w:hAnsi="Arial" w:cs="Arial"/>
          <w:szCs w:val="22"/>
        </w:rPr>
        <w:t xml:space="preserve"> of notional council tax</w:t>
      </w:r>
      <w:r w:rsidR="00736893">
        <w:rPr>
          <w:rFonts w:ascii="Arial" w:eastAsia="Calibri" w:hAnsi="Arial" w:cs="Arial"/>
          <w:szCs w:val="22"/>
        </w:rPr>
        <w:t xml:space="preserve"> to avoid perverse incentives</w:t>
      </w:r>
      <w:r>
        <w:rPr>
          <w:rFonts w:ascii="Arial" w:eastAsia="Calibri" w:hAnsi="Arial" w:cs="Arial"/>
          <w:szCs w:val="22"/>
        </w:rPr>
        <w:t>;</w:t>
      </w:r>
    </w:p>
    <w:p w14:paraId="20CDC936" w14:textId="77777777" w:rsidR="00ED5722" w:rsidRDefault="00ED5722" w:rsidP="005459B7">
      <w:pPr>
        <w:pStyle w:val="ListParagraph"/>
        <w:ind w:left="1134" w:hanging="715"/>
        <w:rPr>
          <w:rFonts w:ascii="Arial" w:eastAsia="Calibri" w:hAnsi="Arial" w:cs="Arial"/>
          <w:szCs w:val="22"/>
        </w:rPr>
      </w:pPr>
    </w:p>
    <w:p w14:paraId="76C1D86A" w14:textId="36CEA35A" w:rsidR="00322D77" w:rsidRPr="00920C5A" w:rsidRDefault="00ED5722" w:rsidP="005459B7">
      <w:pPr>
        <w:numPr>
          <w:ilvl w:val="1"/>
          <w:numId w:val="1"/>
        </w:numPr>
        <w:ind w:left="1134" w:hanging="715"/>
        <w:contextualSpacing/>
        <w:rPr>
          <w:rFonts w:ascii="Arial" w:eastAsia="Calibri" w:hAnsi="Arial" w:cs="Arial"/>
          <w:szCs w:val="22"/>
        </w:rPr>
      </w:pPr>
      <w:r>
        <w:rPr>
          <w:rFonts w:ascii="Arial" w:eastAsia="Calibri" w:hAnsi="Arial" w:cs="Arial"/>
          <w:szCs w:val="22"/>
        </w:rPr>
        <w:t>Recommends</w:t>
      </w:r>
      <w:r w:rsidR="00322D77" w:rsidRPr="00920C5A">
        <w:rPr>
          <w:rFonts w:ascii="Arial" w:eastAsia="Calibri" w:hAnsi="Arial" w:cs="Arial"/>
          <w:szCs w:val="22"/>
        </w:rPr>
        <w:t xml:space="preserve"> </w:t>
      </w:r>
      <w:r w:rsidR="00736893">
        <w:rPr>
          <w:rFonts w:ascii="Arial" w:eastAsia="Calibri" w:hAnsi="Arial" w:cs="Arial"/>
          <w:szCs w:val="22"/>
        </w:rPr>
        <w:t xml:space="preserve">not using </w:t>
      </w:r>
      <w:r w:rsidR="00322D77" w:rsidRPr="00920C5A">
        <w:rPr>
          <w:rFonts w:ascii="Arial" w:eastAsia="Calibri" w:hAnsi="Arial" w:cs="Arial"/>
          <w:szCs w:val="22"/>
        </w:rPr>
        <w:t xml:space="preserve">actual council tax collection rates </w:t>
      </w:r>
      <w:r w:rsidR="00493B75" w:rsidRPr="00920C5A">
        <w:rPr>
          <w:rFonts w:ascii="Arial" w:eastAsia="Calibri" w:hAnsi="Arial" w:cs="Arial"/>
          <w:szCs w:val="22"/>
        </w:rPr>
        <w:t>but, given the correlation with deprivation,</w:t>
      </w:r>
      <w:r w:rsidR="00322D77" w:rsidRPr="00920C5A">
        <w:rPr>
          <w:rFonts w:ascii="Arial" w:eastAsia="Calibri" w:hAnsi="Arial" w:cs="Arial"/>
          <w:szCs w:val="22"/>
        </w:rPr>
        <w:t xml:space="preserve"> adjust</w:t>
      </w:r>
      <w:r w:rsidR="00736893">
        <w:rPr>
          <w:rFonts w:ascii="Arial" w:eastAsia="Calibri" w:hAnsi="Arial" w:cs="Arial"/>
          <w:szCs w:val="22"/>
        </w:rPr>
        <w:t xml:space="preserve"> </w:t>
      </w:r>
      <w:r w:rsidR="00322D77" w:rsidRPr="00920C5A">
        <w:rPr>
          <w:rFonts w:ascii="Arial" w:eastAsia="Calibri" w:hAnsi="Arial" w:cs="Arial"/>
          <w:szCs w:val="22"/>
        </w:rPr>
        <w:t>for using a formula approac</w:t>
      </w:r>
      <w:r w:rsidR="00736893">
        <w:rPr>
          <w:rFonts w:ascii="Arial" w:eastAsia="Calibri" w:hAnsi="Arial" w:cs="Arial"/>
          <w:szCs w:val="22"/>
        </w:rPr>
        <w:t>h.</w:t>
      </w:r>
    </w:p>
    <w:p w14:paraId="72722AF1" w14:textId="77777777" w:rsidR="00322D77" w:rsidRPr="00322D77" w:rsidRDefault="00322D77" w:rsidP="005459B7">
      <w:pPr>
        <w:pStyle w:val="ListParagraph"/>
        <w:ind w:left="1134" w:hanging="715"/>
        <w:rPr>
          <w:rFonts w:ascii="Arial" w:hAnsi="Arial" w:cs="Arial"/>
          <w:szCs w:val="22"/>
        </w:rPr>
      </w:pPr>
    </w:p>
    <w:p w14:paraId="6989EDE4" w14:textId="305D8871" w:rsidR="00DE4D99" w:rsidRPr="00920C5A" w:rsidRDefault="00920C5A" w:rsidP="005459B7">
      <w:pPr>
        <w:numPr>
          <w:ilvl w:val="1"/>
          <w:numId w:val="1"/>
        </w:numPr>
        <w:ind w:left="1134" w:hanging="715"/>
        <w:contextualSpacing/>
        <w:rPr>
          <w:rFonts w:ascii="Arial" w:eastAsia="Calibri" w:hAnsi="Arial" w:cs="Arial"/>
          <w:szCs w:val="22"/>
        </w:rPr>
      </w:pPr>
      <w:r>
        <w:rPr>
          <w:rFonts w:ascii="Arial" w:eastAsia="Calibri" w:hAnsi="Arial" w:cs="Arial"/>
          <w:szCs w:val="22"/>
        </w:rPr>
        <w:t>A</w:t>
      </w:r>
      <w:r w:rsidR="00322D77" w:rsidRPr="00920C5A">
        <w:rPr>
          <w:rFonts w:ascii="Arial" w:eastAsia="Calibri" w:hAnsi="Arial" w:cs="Arial"/>
          <w:szCs w:val="22"/>
        </w:rPr>
        <w:t>gree</w:t>
      </w:r>
      <w:r w:rsidR="00736893">
        <w:rPr>
          <w:rFonts w:ascii="Arial" w:eastAsia="Calibri" w:hAnsi="Arial" w:cs="Arial"/>
          <w:szCs w:val="22"/>
        </w:rPr>
        <w:t>s</w:t>
      </w:r>
      <w:r w:rsidR="00322D77" w:rsidRPr="00920C5A">
        <w:rPr>
          <w:rFonts w:ascii="Arial" w:eastAsia="Calibri" w:hAnsi="Arial" w:cs="Arial"/>
          <w:szCs w:val="22"/>
        </w:rPr>
        <w:t xml:space="preserve"> that sales, fees and charges, including parking income, should not be taken into account.</w:t>
      </w:r>
    </w:p>
    <w:p w14:paraId="46D93E99" w14:textId="77777777" w:rsidR="00322D77" w:rsidRPr="00322D77" w:rsidRDefault="00322D77" w:rsidP="005459B7">
      <w:pPr>
        <w:pStyle w:val="ListParagraph"/>
        <w:ind w:left="1134" w:hanging="715"/>
        <w:rPr>
          <w:rFonts w:ascii="Arial" w:hAnsi="Arial" w:cs="Arial"/>
          <w:szCs w:val="22"/>
        </w:rPr>
      </w:pPr>
    </w:p>
    <w:p w14:paraId="618FDDF5" w14:textId="77777777" w:rsidR="008A4FFB" w:rsidRDefault="00736893" w:rsidP="005459B7">
      <w:pPr>
        <w:numPr>
          <w:ilvl w:val="1"/>
          <w:numId w:val="1"/>
        </w:numPr>
        <w:ind w:left="1134" w:hanging="715"/>
        <w:contextualSpacing/>
        <w:rPr>
          <w:rFonts w:ascii="Arial" w:eastAsia="Calibri" w:hAnsi="Arial" w:cs="Arial"/>
          <w:szCs w:val="22"/>
        </w:rPr>
      </w:pPr>
      <w:r>
        <w:rPr>
          <w:rFonts w:ascii="Arial" w:eastAsia="Calibri" w:hAnsi="Arial" w:cs="Arial"/>
          <w:szCs w:val="22"/>
        </w:rPr>
        <w:t>P</w:t>
      </w:r>
      <w:r w:rsidR="00322D77" w:rsidRPr="00736893">
        <w:rPr>
          <w:rFonts w:ascii="Arial" w:eastAsia="Calibri" w:hAnsi="Arial" w:cs="Arial"/>
          <w:szCs w:val="22"/>
        </w:rPr>
        <w:t>oint</w:t>
      </w:r>
      <w:r>
        <w:rPr>
          <w:rFonts w:ascii="Arial" w:eastAsia="Calibri" w:hAnsi="Arial" w:cs="Arial"/>
          <w:szCs w:val="22"/>
        </w:rPr>
        <w:t>s</w:t>
      </w:r>
      <w:r w:rsidR="00322D77" w:rsidRPr="00736893">
        <w:rPr>
          <w:rFonts w:ascii="Arial" w:eastAsia="Calibri" w:hAnsi="Arial" w:cs="Arial"/>
          <w:szCs w:val="22"/>
        </w:rPr>
        <w:t xml:space="preserve"> to trade-offs between the government’s principle</w:t>
      </w:r>
      <w:r w:rsidR="00B73502" w:rsidRPr="00736893">
        <w:rPr>
          <w:rFonts w:ascii="Arial" w:eastAsia="Calibri" w:hAnsi="Arial" w:cs="Arial"/>
          <w:szCs w:val="22"/>
        </w:rPr>
        <w:t>s</w:t>
      </w:r>
      <w:r>
        <w:rPr>
          <w:rFonts w:ascii="Arial" w:eastAsia="Calibri" w:hAnsi="Arial" w:cs="Arial"/>
          <w:szCs w:val="22"/>
        </w:rPr>
        <w:t xml:space="preserve"> and the merit </w:t>
      </w:r>
      <w:r w:rsidR="00322D77" w:rsidRPr="00736893">
        <w:rPr>
          <w:rFonts w:ascii="Arial" w:eastAsia="Calibri" w:hAnsi="Arial" w:cs="Arial"/>
          <w:szCs w:val="22"/>
        </w:rPr>
        <w:t>in considering including the current income from council tax in calculating the transition baseline and target (not the</w:t>
      </w:r>
      <w:r w:rsidR="008A4FFB">
        <w:rPr>
          <w:rFonts w:ascii="Arial" w:eastAsia="Calibri" w:hAnsi="Arial" w:cs="Arial"/>
          <w:szCs w:val="22"/>
        </w:rPr>
        <w:t xml:space="preserve"> Fair Funding Review baseline).</w:t>
      </w:r>
    </w:p>
    <w:p w14:paraId="0BAEB981" w14:textId="77777777" w:rsidR="008A4FFB" w:rsidRDefault="008A4FFB" w:rsidP="005459B7">
      <w:pPr>
        <w:pStyle w:val="ListParagraph"/>
        <w:ind w:left="1134" w:hanging="715"/>
        <w:rPr>
          <w:rFonts w:ascii="Arial" w:eastAsia="Calibri" w:hAnsi="Arial" w:cs="Arial"/>
          <w:szCs w:val="22"/>
        </w:rPr>
      </w:pPr>
    </w:p>
    <w:p w14:paraId="008EE195" w14:textId="50C7BC0B" w:rsidR="00322D77" w:rsidRDefault="008A4FFB" w:rsidP="005459B7">
      <w:pPr>
        <w:numPr>
          <w:ilvl w:val="1"/>
          <w:numId w:val="1"/>
        </w:numPr>
        <w:ind w:left="1134" w:hanging="715"/>
        <w:contextualSpacing/>
        <w:rPr>
          <w:rFonts w:ascii="Arial" w:eastAsia="Calibri" w:hAnsi="Arial" w:cs="Arial"/>
          <w:szCs w:val="22"/>
        </w:rPr>
      </w:pPr>
      <w:r>
        <w:rPr>
          <w:rFonts w:ascii="Arial" w:eastAsia="Calibri" w:hAnsi="Arial" w:cs="Arial"/>
          <w:szCs w:val="22"/>
        </w:rPr>
        <w:t>Disagrees that</w:t>
      </w:r>
      <w:r w:rsidR="00322D77" w:rsidRPr="00736893">
        <w:rPr>
          <w:rFonts w:ascii="Arial" w:eastAsia="Calibri" w:hAnsi="Arial" w:cs="Arial"/>
          <w:szCs w:val="22"/>
        </w:rPr>
        <w:t xml:space="preserve"> assumptions about council tax increases, either due to </w:t>
      </w:r>
      <w:proofErr w:type="spellStart"/>
      <w:r w:rsidR="00322D77" w:rsidRPr="00736893">
        <w:rPr>
          <w:rFonts w:ascii="Arial" w:eastAsia="Calibri" w:hAnsi="Arial" w:cs="Arial"/>
          <w:szCs w:val="22"/>
        </w:rPr>
        <w:t>taxbase</w:t>
      </w:r>
      <w:proofErr w:type="spellEnd"/>
      <w:r w:rsidR="00322D77" w:rsidRPr="00736893">
        <w:rPr>
          <w:rFonts w:ascii="Arial" w:eastAsia="Calibri" w:hAnsi="Arial" w:cs="Arial"/>
          <w:szCs w:val="22"/>
        </w:rPr>
        <w:t xml:space="preserve"> growth or due to assumed future council decisions</w:t>
      </w:r>
      <w:r w:rsidR="00E53E80">
        <w:rPr>
          <w:rFonts w:ascii="Arial" w:eastAsia="Calibri" w:hAnsi="Arial" w:cs="Arial"/>
          <w:szCs w:val="22"/>
        </w:rPr>
        <w:t>,</w:t>
      </w:r>
      <w:r w:rsidR="00322D77" w:rsidRPr="00736893">
        <w:rPr>
          <w:rFonts w:ascii="Arial" w:eastAsia="Calibri" w:hAnsi="Arial" w:cs="Arial"/>
          <w:szCs w:val="22"/>
        </w:rPr>
        <w:t xml:space="preserve"> </w:t>
      </w:r>
      <w:r>
        <w:rPr>
          <w:rFonts w:ascii="Arial" w:eastAsia="Calibri" w:hAnsi="Arial" w:cs="Arial"/>
          <w:szCs w:val="22"/>
        </w:rPr>
        <w:t>should be included</w:t>
      </w:r>
      <w:r w:rsidR="00322D77" w:rsidRPr="00736893">
        <w:rPr>
          <w:rFonts w:ascii="Arial" w:eastAsia="Calibri" w:hAnsi="Arial" w:cs="Arial"/>
          <w:szCs w:val="22"/>
        </w:rPr>
        <w:t>.</w:t>
      </w:r>
    </w:p>
    <w:p w14:paraId="163D6263" w14:textId="77777777" w:rsidR="008A4FFB" w:rsidRDefault="008A4FFB" w:rsidP="008A4FFB">
      <w:pPr>
        <w:pStyle w:val="ListParagraph"/>
        <w:rPr>
          <w:rFonts w:ascii="Arial" w:eastAsia="Calibri" w:hAnsi="Arial" w:cs="Arial"/>
          <w:szCs w:val="22"/>
        </w:rPr>
      </w:pPr>
    </w:p>
    <w:p w14:paraId="425EB883" w14:textId="31084C15" w:rsidR="00322D77" w:rsidRDefault="00322D77" w:rsidP="008A4FFB">
      <w:pPr>
        <w:contextualSpacing/>
        <w:rPr>
          <w:rFonts w:ascii="Arial" w:eastAsia="Calibri" w:hAnsi="Arial" w:cs="Arial"/>
          <w:szCs w:val="22"/>
        </w:rPr>
      </w:pPr>
    </w:p>
    <w:p w14:paraId="6BF4AE75" w14:textId="77777777" w:rsidR="008C6AD0" w:rsidRDefault="008C6AD0" w:rsidP="008A4FFB">
      <w:pPr>
        <w:contextualSpacing/>
        <w:rPr>
          <w:rFonts w:ascii="Arial" w:eastAsia="Calibri" w:hAnsi="Arial" w:cs="Arial"/>
          <w:szCs w:val="22"/>
        </w:rPr>
      </w:pPr>
    </w:p>
    <w:p w14:paraId="24D5BB69" w14:textId="77777777" w:rsidR="008C6AD0" w:rsidRDefault="008C6AD0" w:rsidP="008A4FFB">
      <w:pPr>
        <w:contextualSpacing/>
        <w:rPr>
          <w:rFonts w:ascii="Arial" w:eastAsia="Calibri" w:hAnsi="Arial" w:cs="Arial"/>
          <w:szCs w:val="22"/>
        </w:rPr>
      </w:pPr>
    </w:p>
    <w:p w14:paraId="36837D31" w14:textId="77777777" w:rsidR="008C6AD0" w:rsidRPr="008A4FFB" w:rsidRDefault="008C6AD0" w:rsidP="008A4FFB">
      <w:pPr>
        <w:contextualSpacing/>
        <w:rPr>
          <w:rFonts w:ascii="Arial" w:eastAsia="Calibri" w:hAnsi="Arial" w:cs="Arial"/>
          <w:szCs w:val="22"/>
        </w:rPr>
      </w:pPr>
    </w:p>
    <w:p w14:paraId="528B9D17" w14:textId="3B876DEE" w:rsidR="00766459" w:rsidRPr="001054EB" w:rsidRDefault="00EC7ED0">
      <w:pPr>
        <w:rPr>
          <w:rFonts w:ascii="Arial" w:hAnsi="Arial" w:cs="Arial"/>
          <w:b/>
        </w:rPr>
      </w:pPr>
      <w:r w:rsidRPr="001054EB">
        <w:rPr>
          <w:rFonts w:ascii="Arial" w:hAnsi="Arial" w:cs="Arial"/>
          <w:b/>
        </w:rPr>
        <w:lastRenderedPageBreak/>
        <w:t>Business Rates R</w:t>
      </w:r>
      <w:r w:rsidR="00766459" w:rsidRPr="001054EB">
        <w:rPr>
          <w:rFonts w:ascii="Arial" w:hAnsi="Arial" w:cs="Arial"/>
          <w:b/>
        </w:rPr>
        <w:t>etention</w:t>
      </w:r>
    </w:p>
    <w:p w14:paraId="7A7F174C" w14:textId="62C77754" w:rsidR="00315711" w:rsidRPr="00315711" w:rsidRDefault="00315711" w:rsidP="00315711">
      <w:pPr>
        <w:rPr>
          <w:rFonts w:ascii="Arial" w:hAnsi="Arial" w:cs="Arial"/>
          <w:szCs w:val="22"/>
        </w:rPr>
      </w:pPr>
    </w:p>
    <w:p w14:paraId="4CA51EF4" w14:textId="6673966D" w:rsidR="00315711" w:rsidRDefault="00315711" w:rsidP="009C5037">
      <w:pPr>
        <w:pStyle w:val="MainText"/>
        <w:numPr>
          <w:ilvl w:val="0"/>
          <w:numId w:val="1"/>
        </w:numPr>
        <w:ind w:left="357" w:hanging="357"/>
        <w:rPr>
          <w:rFonts w:ascii="Arial" w:hAnsi="Arial" w:cs="Arial"/>
        </w:rPr>
      </w:pPr>
      <w:r>
        <w:rPr>
          <w:rFonts w:ascii="Arial" w:hAnsi="Arial" w:cs="Arial"/>
        </w:rPr>
        <w:t xml:space="preserve">The consultation </w:t>
      </w:r>
      <w:hyperlink r:id="rId22" w:history="1">
        <w:r w:rsidRPr="00F03F39">
          <w:rPr>
            <w:rStyle w:val="Hyperlink"/>
            <w:rFonts w:ascii="Arial" w:hAnsi="Arial" w:cs="Arial"/>
          </w:rPr>
          <w:t>Business Rates Retention Reform Sharing risk and reward, managing volatility and setting up the reformed system</w:t>
        </w:r>
      </w:hyperlink>
      <w:r w:rsidRPr="00C560AB">
        <w:rPr>
          <w:rFonts w:ascii="Arial" w:hAnsi="Arial" w:cs="Arial"/>
        </w:rPr>
        <w:t xml:space="preserve"> </w:t>
      </w:r>
      <w:r>
        <w:rPr>
          <w:rFonts w:ascii="Arial" w:hAnsi="Arial" w:cs="Arial"/>
        </w:rPr>
        <w:t>was published on 13 December 2018</w:t>
      </w:r>
      <w:r w:rsidR="00C168E7">
        <w:rPr>
          <w:rFonts w:ascii="Arial" w:hAnsi="Arial" w:cs="Arial"/>
        </w:rPr>
        <w:t xml:space="preserve"> and closed on </w:t>
      </w:r>
      <w:r w:rsidR="00C168E7" w:rsidRPr="00E52C5A">
        <w:rPr>
          <w:rFonts w:ascii="Arial" w:hAnsi="Arial" w:cs="Arial"/>
        </w:rPr>
        <w:t>21 February 2019</w:t>
      </w:r>
      <w:r>
        <w:rPr>
          <w:rFonts w:ascii="Arial" w:hAnsi="Arial" w:cs="Arial"/>
        </w:rPr>
        <w:t xml:space="preserve">. The document commits to the principle of further Business Rates Retention and to 2020 implementation. A final consultation on the reform of the system including details of implementation and transition will be published </w:t>
      </w:r>
      <w:r w:rsidR="00CF005F">
        <w:rPr>
          <w:rFonts w:ascii="Arial" w:hAnsi="Arial" w:cs="Arial"/>
        </w:rPr>
        <w:t>this year</w:t>
      </w:r>
      <w:r>
        <w:rPr>
          <w:rFonts w:ascii="Arial" w:hAnsi="Arial" w:cs="Arial"/>
        </w:rPr>
        <w:t>, with final policy decisions in Autumn</w:t>
      </w:r>
      <w:r w:rsidR="009036BD">
        <w:rPr>
          <w:rFonts w:ascii="Arial" w:hAnsi="Arial" w:cs="Arial"/>
        </w:rPr>
        <w:t xml:space="preserve"> 2019</w:t>
      </w:r>
      <w:r>
        <w:rPr>
          <w:rFonts w:ascii="Arial" w:hAnsi="Arial" w:cs="Arial"/>
        </w:rPr>
        <w:t>.</w:t>
      </w:r>
    </w:p>
    <w:p w14:paraId="183FEC1F" w14:textId="77777777" w:rsidR="00315711" w:rsidRDefault="00315711" w:rsidP="00315711">
      <w:pPr>
        <w:pStyle w:val="MainText"/>
        <w:ind w:left="357"/>
        <w:rPr>
          <w:rFonts w:ascii="Arial" w:hAnsi="Arial" w:cs="Arial"/>
        </w:rPr>
      </w:pPr>
    </w:p>
    <w:p w14:paraId="4C908C19" w14:textId="4F29877A" w:rsidR="00315711" w:rsidRDefault="00315711" w:rsidP="009C5037">
      <w:pPr>
        <w:pStyle w:val="MainText"/>
        <w:numPr>
          <w:ilvl w:val="0"/>
          <w:numId w:val="1"/>
        </w:numPr>
        <w:ind w:left="357" w:hanging="357"/>
        <w:rPr>
          <w:rFonts w:ascii="Arial" w:hAnsi="Arial" w:cs="Arial"/>
        </w:rPr>
      </w:pPr>
      <w:r>
        <w:rPr>
          <w:rFonts w:ascii="Arial" w:hAnsi="Arial" w:cs="Arial"/>
        </w:rPr>
        <w:t xml:space="preserve">The key points in the consultation document </w:t>
      </w:r>
      <w:r w:rsidR="00A95437">
        <w:rPr>
          <w:rFonts w:ascii="Arial" w:hAnsi="Arial" w:cs="Arial"/>
        </w:rPr>
        <w:t>were</w:t>
      </w:r>
      <w:r>
        <w:rPr>
          <w:rFonts w:ascii="Arial" w:hAnsi="Arial" w:cs="Arial"/>
        </w:rPr>
        <w:t>:</w:t>
      </w:r>
    </w:p>
    <w:p w14:paraId="37ABB98F" w14:textId="77777777" w:rsidR="007462A5" w:rsidRDefault="007462A5" w:rsidP="007462A5">
      <w:pPr>
        <w:pStyle w:val="ListParagraph"/>
        <w:rPr>
          <w:rFonts w:ascii="Arial" w:hAnsi="Arial" w:cs="Arial"/>
          <w:b/>
        </w:rPr>
      </w:pPr>
    </w:p>
    <w:p w14:paraId="6401E9AD" w14:textId="740FF18D" w:rsidR="00315711" w:rsidRPr="009036BD" w:rsidRDefault="00315711" w:rsidP="005459B7">
      <w:pPr>
        <w:numPr>
          <w:ilvl w:val="1"/>
          <w:numId w:val="1"/>
        </w:numPr>
        <w:ind w:left="993" w:hanging="574"/>
        <w:contextualSpacing/>
        <w:rPr>
          <w:rFonts w:ascii="Arial" w:eastAsia="Calibri" w:hAnsi="Arial" w:cs="Arial"/>
          <w:szCs w:val="22"/>
        </w:rPr>
      </w:pPr>
      <w:r w:rsidRPr="009036BD">
        <w:rPr>
          <w:rFonts w:ascii="Arial" w:eastAsia="Calibri" w:hAnsi="Arial" w:cs="Arial"/>
          <w:szCs w:val="22"/>
        </w:rPr>
        <w:t>Resets are seen by the Government as key to the balance of risk and reward. 2020 will be a full reset but</w:t>
      </w:r>
      <w:r w:rsidR="00730AAC" w:rsidRPr="009036BD">
        <w:rPr>
          <w:rFonts w:ascii="Arial" w:eastAsia="Calibri" w:hAnsi="Arial" w:cs="Arial"/>
          <w:szCs w:val="22"/>
        </w:rPr>
        <w:t xml:space="preserve"> in future</w:t>
      </w:r>
      <w:r w:rsidRPr="009036BD">
        <w:rPr>
          <w:rFonts w:ascii="Arial" w:eastAsia="Calibri" w:hAnsi="Arial" w:cs="Arial"/>
          <w:szCs w:val="22"/>
        </w:rPr>
        <w:t xml:space="preserve"> there are various options </w:t>
      </w:r>
      <w:r w:rsidR="007462A5" w:rsidRPr="009036BD">
        <w:rPr>
          <w:rFonts w:ascii="Arial" w:eastAsia="Calibri" w:hAnsi="Arial" w:cs="Arial"/>
          <w:szCs w:val="22"/>
        </w:rPr>
        <w:t>such as p</w:t>
      </w:r>
      <w:r w:rsidRPr="009036BD">
        <w:rPr>
          <w:rFonts w:ascii="Arial" w:eastAsia="Calibri" w:hAnsi="Arial" w:cs="Arial"/>
          <w:szCs w:val="22"/>
        </w:rPr>
        <w:t xml:space="preserve">artial resets </w:t>
      </w:r>
      <w:r w:rsidR="007462A5" w:rsidRPr="009036BD">
        <w:rPr>
          <w:rFonts w:ascii="Arial" w:eastAsia="Calibri" w:hAnsi="Arial" w:cs="Arial"/>
          <w:szCs w:val="22"/>
        </w:rPr>
        <w:t>and phased resets</w:t>
      </w:r>
      <w:r w:rsidR="00466C40">
        <w:rPr>
          <w:rFonts w:ascii="Arial" w:eastAsia="Calibri" w:hAnsi="Arial" w:cs="Arial"/>
          <w:szCs w:val="22"/>
        </w:rPr>
        <w:t>;</w:t>
      </w:r>
    </w:p>
    <w:p w14:paraId="0D6BF72B" w14:textId="77777777" w:rsidR="007462A5" w:rsidRPr="005D1FC3" w:rsidRDefault="007462A5" w:rsidP="005459B7">
      <w:pPr>
        <w:pStyle w:val="ListParagraph"/>
        <w:ind w:left="993" w:hanging="574"/>
        <w:rPr>
          <w:rFonts w:ascii="Arial" w:hAnsi="Arial" w:cs="Arial"/>
          <w:szCs w:val="22"/>
        </w:rPr>
      </w:pPr>
    </w:p>
    <w:p w14:paraId="601DF43A" w14:textId="248DAD24" w:rsidR="0006430F" w:rsidRDefault="00A6013E" w:rsidP="005459B7">
      <w:pPr>
        <w:numPr>
          <w:ilvl w:val="1"/>
          <w:numId w:val="1"/>
        </w:numPr>
        <w:ind w:left="993" w:hanging="574"/>
        <w:contextualSpacing/>
        <w:rPr>
          <w:rFonts w:ascii="Arial" w:eastAsia="Calibri" w:hAnsi="Arial" w:cs="Arial"/>
          <w:szCs w:val="22"/>
        </w:rPr>
      </w:pPr>
      <w:r>
        <w:rPr>
          <w:rFonts w:ascii="Arial" w:eastAsia="Calibri" w:hAnsi="Arial" w:cs="Arial"/>
          <w:szCs w:val="22"/>
        </w:rPr>
        <w:t>The s</w:t>
      </w:r>
      <w:r w:rsidR="00315711" w:rsidRPr="0006430F">
        <w:rPr>
          <w:rFonts w:ascii="Arial" w:eastAsia="Calibri" w:hAnsi="Arial" w:cs="Arial"/>
          <w:szCs w:val="22"/>
        </w:rPr>
        <w:t xml:space="preserve">afety </w:t>
      </w:r>
      <w:r>
        <w:rPr>
          <w:rFonts w:ascii="Arial" w:eastAsia="Calibri" w:hAnsi="Arial" w:cs="Arial"/>
          <w:szCs w:val="22"/>
        </w:rPr>
        <w:t>n</w:t>
      </w:r>
      <w:r w:rsidR="00315711" w:rsidRPr="0006430F">
        <w:rPr>
          <w:rFonts w:ascii="Arial" w:eastAsia="Calibri" w:hAnsi="Arial" w:cs="Arial"/>
          <w:szCs w:val="22"/>
        </w:rPr>
        <w:t>et is to remain as a way of</w:t>
      </w:r>
      <w:r w:rsidR="006D1273">
        <w:rPr>
          <w:rFonts w:ascii="Arial" w:eastAsia="Calibri" w:hAnsi="Arial" w:cs="Arial"/>
          <w:szCs w:val="22"/>
        </w:rPr>
        <w:t xml:space="preserve"> softening shocks to the system</w:t>
      </w:r>
      <w:r w:rsidR="00F11E80">
        <w:rPr>
          <w:rFonts w:ascii="Arial" w:eastAsia="Calibri" w:hAnsi="Arial" w:cs="Arial"/>
          <w:szCs w:val="22"/>
        </w:rPr>
        <w:t xml:space="preserve">. </w:t>
      </w:r>
      <w:r w:rsidR="00466C40">
        <w:rPr>
          <w:rFonts w:ascii="Arial" w:eastAsia="Calibri" w:hAnsi="Arial" w:cs="Arial"/>
          <w:szCs w:val="22"/>
        </w:rPr>
        <w:t>The document did not</w:t>
      </w:r>
      <w:r w:rsidR="0006430F" w:rsidRPr="0006430F">
        <w:rPr>
          <w:rFonts w:ascii="Arial" w:eastAsia="Calibri" w:hAnsi="Arial" w:cs="Arial"/>
          <w:szCs w:val="22"/>
        </w:rPr>
        <w:t xml:space="preserve"> propose a level, although note</w:t>
      </w:r>
      <w:r w:rsidR="00466C40">
        <w:rPr>
          <w:rFonts w:ascii="Arial" w:eastAsia="Calibri" w:hAnsi="Arial" w:cs="Arial"/>
          <w:szCs w:val="22"/>
        </w:rPr>
        <w:t>d</w:t>
      </w:r>
      <w:r w:rsidR="0006430F" w:rsidRPr="0006430F">
        <w:rPr>
          <w:rFonts w:ascii="Arial" w:eastAsia="Calibri" w:hAnsi="Arial" w:cs="Arial"/>
          <w:szCs w:val="22"/>
        </w:rPr>
        <w:t xml:space="preserve"> the 75</w:t>
      </w:r>
      <w:r w:rsidR="00466C40">
        <w:rPr>
          <w:rFonts w:ascii="Arial" w:eastAsia="Calibri" w:hAnsi="Arial" w:cs="Arial"/>
          <w:szCs w:val="22"/>
        </w:rPr>
        <w:t xml:space="preserve"> per cent</w:t>
      </w:r>
      <w:r w:rsidR="0006430F" w:rsidRPr="0006430F">
        <w:rPr>
          <w:rFonts w:ascii="Arial" w:eastAsia="Calibri" w:hAnsi="Arial" w:cs="Arial"/>
          <w:szCs w:val="22"/>
        </w:rPr>
        <w:t xml:space="preserve"> pilots </w:t>
      </w:r>
      <w:r w:rsidR="0006430F">
        <w:rPr>
          <w:rFonts w:ascii="Arial" w:eastAsia="Calibri" w:hAnsi="Arial" w:cs="Arial"/>
          <w:szCs w:val="22"/>
        </w:rPr>
        <w:t>have a</w:t>
      </w:r>
      <w:r w:rsidR="0006430F" w:rsidRPr="0006430F">
        <w:rPr>
          <w:rFonts w:ascii="Arial" w:eastAsia="Calibri" w:hAnsi="Arial" w:cs="Arial"/>
          <w:szCs w:val="22"/>
        </w:rPr>
        <w:t xml:space="preserve"> 5 per cent</w:t>
      </w:r>
      <w:r w:rsidR="00466C40">
        <w:rPr>
          <w:rFonts w:ascii="Arial" w:eastAsia="Calibri" w:hAnsi="Arial" w:cs="Arial"/>
          <w:szCs w:val="22"/>
        </w:rPr>
        <w:t xml:space="preserve"> safety net;</w:t>
      </w:r>
    </w:p>
    <w:p w14:paraId="2216D49B" w14:textId="77777777" w:rsidR="0006430F" w:rsidRPr="00A6013E" w:rsidRDefault="0006430F" w:rsidP="005459B7">
      <w:pPr>
        <w:ind w:left="993" w:hanging="574"/>
        <w:rPr>
          <w:rFonts w:ascii="Arial" w:eastAsia="Calibri" w:hAnsi="Arial" w:cs="Arial"/>
          <w:szCs w:val="22"/>
        </w:rPr>
      </w:pPr>
    </w:p>
    <w:p w14:paraId="7FDB2875" w14:textId="4D8D58BF" w:rsidR="00315711" w:rsidRPr="00D254BE" w:rsidRDefault="006D1273" w:rsidP="005459B7">
      <w:pPr>
        <w:numPr>
          <w:ilvl w:val="1"/>
          <w:numId w:val="1"/>
        </w:numPr>
        <w:ind w:left="993" w:hanging="574"/>
        <w:contextualSpacing/>
        <w:rPr>
          <w:rFonts w:ascii="Arial" w:eastAsia="Calibri" w:hAnsi="Arial" w:cs="Arial"/>
        </w:rPr>
      </w:pPr>
      <w:r w:rsidRPr="00D254BE">
        <w:rPr>
          <w:rFonts w:ascii="Arial" w:eastAsia="Calibri" w:hAnsi="Arial" w:cs="Arial"/>
        </w:rPr>
        <w:t xml:space="preserve">Abolishing </w:t>
      </w:r>
      <w:r w:rsidR="00A6013E" w:rsidRPr="00D254BE">
        <w:rPr>
          <w:rFonts w:ascii="Arial" w:eastAsia="Calibri" w:hAnsi="Arial" w:cs="Arial"/>
        </w:rPr>
        <w:t xml:space="preserve">the levy </w:t>
      </w:r>
      <w:r w:rsidR="00315711" w:rsidRPr="00D254BE">
        <w:rPr>
          <w:rFonts w:ascii="Arial" w:eastAsia="Calibri" w:hAnsi="Arial" w:cs="Arial"/>
        </w:rPr>
        <w:t xml:space="preserve">is government policy but requires primary legislation. The </w:t>
      </w:r>
      <w:r w:rsidRPr="00D254BE">
        <w:rPr>
          <w:rFonts w:ascii="Arial" w:eastAsia="Calibri" w:hAnsi="Arial" w:cs="Arial"/>
        </w:rPr>
        <w:t xml:space="preserve">Government </w:t>
      </w:r>
      <w:r w:rsidR="00466C40" w:rsidRPr="00D254BE">
        <w:rPr>
          <w:rFonts w:ascii="Arial" w:eastAsia="Calibri" w:hAnsi="Arial" w:cs="Arial"/>
        </w:rPr>
        <w:t>sought</w:t>
      </w:r>
      <w:r w:rsidRPr="00D254BE">
        <w:rPr>
          <w:rFonts w:ascii="Arial" w:eastAsia="Calibri" w:hAnsi="Arial" w:cs="Arial"/>
        </w:rPr>
        <w:t xml:space="preserve"> views on the</w:t>
      </w:r>
      <w:r w:rsidR="00315711" w:rsidRPr="00D254BE">
        <w:rPr>
          <w:rFonts w:ascii="Arial" w:eastAsia="Calibri" w:hAnsi="Arial" w:cs="Arial"/>
        </w:rPr>
        <w:t xml:space="preserve"> level </w:t>
      </w:r>
      <w:r w:rsidRPr="00D254BE">
        <w:rPr>
          <w:rFonts w:ascii="Arial" w:eastAsia="Calibri" w:hAnsi="Arial" w:cs="Arial"/>
        </w:rPr>
        <w:t xml:space="preserve">of the levy and </w:t>
      </w:r>
      <w:r w:rsidR="00466C40" w:rsidRPr="00D254BE">
        <w:rPr>
          <w:rFonts w:ascii="Arial" w:eastAsia="Calibri" w:hAnsi="Arial" w:cs="Arial"/>
        </w:rPr>
        <w:t>referred to</w:t>
      </w:r>
      <w:r w:rsidR="00315711" w:rsidRPr="00D254BE">
        <w:rPr>
          <w:rFonts w:ascii="Arial" w:eastAsia="Calibri" w:hAnsi="Arial" w:cs="Arial"/>
        </w:rPr>
        <w:t xml:space="preserve"> </w:t>
      </w:r>
      <w:r w:rsidR="00466C40" w:rsidRPr="00D254BE">
        <w:rPr>
          <w:rFonts w:ascii="Arial" w:eastAsia="Calibri" w:hAnsi="Arial" w:cs="Arial"/>
        </w:rPr>
        <w:t xml:space="preserve">rates between </w:t>
      </w:r>
      <w:r w:rsidR="00315711" w:rsidRPr="00D254BE">
        <w:rPr>
          <w:rFonts w:ascii="Arial" w:eastAsia="Calibri" w:hAnsi="Arial" w:cs="Arial"/>
        </w:rPr>
        <w:t>100</w:t>
      </w:r>
      <w:r w:rsidR="00466C40" w:rsidRPr="00D254BE">
        <w:rPr>
          <w:rFonts w:ascii="Arial" w:eastAsia="Calibri" w:hAnsi="Arial" w:cs="Arial"/>
        </w:rPr>
        <w:t xml:space="preserve"> and </w:t>
      </w:r>
      <w:r w:rsidR="007A30C8">
        <w:rPr>
          <w:rFonts w:ascii="Arial" w:eastAsia="Calibri" w:hAnsi="Arial" w:cs="Arial"/>
        </w:rPr>
        <w:t>2</w:t>
      </w:r>
      <w:r w:rsidR="003B5CCB">
        <w:rPr>
          <w:rFonts w:ascii="Arial" w:eastAsia="Calibri" w:hAnsi="Arial" w:cs="Arial"/>
        </w:rPr>
        <w:t>50</w:t>
      </w:r>
      <w:r w:rsidR="00302C8A" w:rsidRPr="00D254BE">
        <w:rPr>
          <w:rFonts w:ascii="Arial" w:eastAsia="Calibri" w:hAnsi="Arial" w:cs="Arial"/>
        </w:rPr>
        <w:t xml:space="preserve"> </w:t>
      </w:r>
      <w:r w:rsidR="00466C40" w:rsidRPr="00D254BE">
        <w:rPr>
          <w:rFonts w:ascii="Arial" w:eastAsia="Calibri" w:hAnsi="Arial" w:cs="Arial"/>
        </w:rPr>
        <w:t>per cent;</w:t>
      </w:r>
    </w:p>
    <w:p w14:paraId="1C5B2D1A" w14:textId="77777777" w:rsidR="00E80A6A" w:rsidRPr="0006430F" w:rsidRDefault="00E80A6A" w:rsidP="005459B7">
      <w:pPr>
        <w:ind w:left="993" w:hanging="574"/>
        <w:contextualSpacing/>
        <w:rPr>
          <w:rFonts w:ascii="Arial" w:eastAsia="Calibri" w:hAnsi="Arial" w:cs="Arial"/>
          <w:szCs w:val="22"/>
        </w:rPr>
      </w:pPr>
    </w:p>
    <w:p w14:paraId="088E66F8" w14:textId="5B88CACF" w:rsidR="006D1273" w:rsidRDefault="00466C40" w:rsidP="005459B7">
      <w:pPr>
        <w:numPr>
          <w:ilvl w:val="1"/>
          <w:numId w:val="1"/>
        </w:numPr>
        <w:ind w:left="993" w:hanging="574"/>
        <w:contextualSpacing/>
        <w:rPr>
          <w:rFonts w:ascii="Arial" w:eastAsia="Calibri" w:hAnsi="Arial" w:cs="Arial"/>
          <w:szCs w:val="22"/>
        </w:rPr>
      </w:pPr>
      <w:r>
        <w:rPr>
          <w:rFonts w:ascii="Arial" w:eastAsia="Calibri" w:hAnsi="Arial" w:cs="Arial"/>
          <w:szCs w:val="22"/>
        </w:rPr>
        <w:t xml:space="preserve">A preference for </w:t>
      </w:r>
      <w:r w:rsidR="00315711" w:rsidRPr="0006430F">
        <w:rPr>
          <w:rFonts w:ascii="Arial" w:eastAsia="Calibri" w:hAnsi="Arial" w:cs="Arial"/>
          <w:szCs w:val="22"/>
        </w:rPr>
        <w:t xml:space="preserve">a sector-led decision on </w:t>
      </w:r>
      <w:r>
        <w:rPr>
          <w:rFonts w:ascii="Arial" w:eastAsia="Calibri" w:hAnsi="Arial" w:cs="Arial"/>
          <w:szCs w:val="22"/>
        </w:rPr>
        <w:t xml:space="preserve">a </w:t>
      </w:r>
      <w:r w:rsidRPr="00D254BE">
        <w:rPr>
          <w:rFonts w:ascii="Arial" w:eastAsia="Calibri" w:hAnsi="Arial" w:cs="Arial"/>
          <w:szCs w:val="22"/>
        </w:rPr>
        <w:t>nationa</w:t>
      </w:r>
      <w:r>
        <w:rPr>
          <w:rFonts w:ascii="Arial" w:eastAsia="Calibri" w:hAnsi="Arial" w:cs="Arial"/>
          <w:szCs w:val="22"/>
        </w:rPr>
        <w:t>l tier split</w:t>
      </w:r>
      <w:r w:rsidR="003B5CCB">
        <w:rPr>
          <w:rFonts w:ascii="Arial" w:eastAsia="Calibri" w:hAnsi="Arial" w:cs="Arial"/>
          <w:szCs w:val="22"/>
        </w:rPr>
        <w:t xml:space="preserve"> </w:t>
      </w:r>
      <w:r w:rsidR="003B5CCB" w:rsidRPr="003B5CCB">
        <w:rPr>
          <w:rFonts w:ascii="Arial" w:eastAsia="Calibri" w:hAnsi="Arial" w:cs="Arial"/>
          <w:szCs w:val="22"/>
        </w:rPr>
        <w:t>(with a possibility for pools to agree tier splits locally)</w:t>
      </w:r>
      <w:r w:rsidR="00315711" w:rsidRPr="0006430F">
        <w:rPr>
          <w:rFonts w:ascii="Arial" w:eastAsia="Calibri" w:hAnsi="Arial" w:cs="Arial"/>
          <w:szCs w:val="22"/>
        </w:rPr>
        <w:t xml:space="preserve"> but </w:t>
      </w:r>
      <w:r>
        <w:rPr>
          <w:rFonts w:ascii="Arial" w:eastAsia="Calibri" w:hAnsi="Arial" w:cs="Arial"/>
          <w:szCs w:val="22"/>
        </w:rPr>
        <w:t xml:space="preserve">recognised the </w:t>
      </w:r>
      <w:r w:rsidR="00315711" w:rsidRPr="0006430F">
        <w:rPr>
          <w:rFonts w:ascii="Arial" w:eastAsia="Calibri" w:hAnsi="Arial" w:cs="Arial"/>
          <w:szCs w:val="22"/>
        </w:rPr>
        <w:t xml:space="preserve">need </w:t>
      </w:r>
      <w:r>
        <w:rPr>
          <w:rFonts w:ascii="Arial" w:eastAsia="Calibri" w:hAnsi="Arial" w:cs="Arial"/>
          <w:szCs w:val="22"/>
        </w:rPr>
        <w:t xml:space="preserve">for </w:t>
      </w:r>
      <w:r w:rsidR="00315711" w:rsidRPr="0006430F">
        <w:rPr>
          <w:rFonts w:ascii="Arial" w:eastAsia="Calibri" w:hAnsi="Arial" w:cs="Arial"/>
          <w:szCs w:val="22"/>
        </w:rPr>
        <w:t xml:space="preserve">a </w:t>
      </w:r>
      <w:r>
        <w:rPr>
          <w:rFonts w:ascii="Arial" w:eastAsia="Calibri" w:hAnsi="Arial" w:cs="Arial"/>
          <w:szCs w:val="22"/>
        </w:rPr>
        <w:t>fall-back</w:t>
      </w:r>
      <w:r w:rsidR="006D1273">
        <w:rPr>
          <w:rFonts w:ascii="Arial" w:eastAsia="Calibri" w:hAnsi="Arial" w:cs="Arial"/>
          <w:szCs w:val="22"/>
        </w:rPr>
        <w:t xml:space="preserve"> position</w:t>
      </w:r>
      <w:r w:rsidR="00315711" w:rsidRPr="0006430F">
        <w:rPr>
          <w:rFonts w:ascii="Arial" w:eastAsia="Calibri" w:hAnsi="Arial" w:cs="Arial"/>
          <w:szCs w:val="22"/>
        </w:rPr>
        <w:t xml:space="preserve"> in the event that agreement is not reached</w:t>
      </w:r>
      <w:r>
        <w:rPr>
          <w:rFonts w:ascii="Arial" w:eastAsia="Calibri" w:hAnsi="Arial" w:cs="Arial"/>
          <w:szCs w:val="22"/>
        </w:rPr>
        <w:t>;</w:t>
      </w:r>
    </w:p>
    <w:p w14:paraId="56D3AA14" w14:textId="77777777" w:rsidR="006D1273" w:rsidRDefault="006D1273" w:rsidP="005459B7">
      <w:pPr>
        <w:pStyle w:val="ListParagraph"/>
        <w:ind w:left="993" w:hanging="574"/>
        <w:rPr>
          <w:rFonts w:ascii="Arial" w:eastAsia="Calibri" w:hAnsi="Arial" w:cs="Arial"/>
          <w:szCs w:val="22"/>
        </w:rPr>
      </w:pPr>
    </w:p>
    <w:p w14:paraId="222D2E21" w14:textId="1B3466E1" w:rsidR="007462A5" w:rsidRPr="0006430F" w:rsidRDefault="00E1689B" w:rsidP="005459B7">
      <w:pPr>
        <w:numPr>
          <w:ilvl w:val="1"/>
          <w:numId w:val="1"/>
        </w:numPr>
        <w:ind w:left="993" w:hanging="574"/>
        <w:contextualSpacing/>
        <w:rPr>
          <w:rFonts w:ascii="Arial" w:eastAsia="Calibri" w:hAnsi="Arial" w:cs="Arial"/>
          <w:szCs w:val="22"/>
        </w:rPr>
      </w:pPr>
      <w:r w:rsidRPr="0006430F">
        <w:rPr>
          <w:rFonts w:ascii="Arial" w:eastAsia="Calibri" w:hAnsi="Arial" w:cs="Arial"/>
          <w:szCs w:val="22"/>
        </w:rPr>
        <w:t xml:space="preserve">Pools are </w:t>
      </w:r>
      <w:r w:rsidR="006D1273">
        <w:rPr>
          <w:rFonts w:ascii="Arial" w:eastAsia="Calibri" w:hAnsi="Arial" w:cs="Arial"/>
          <w:szCs w:val="22"/>
        </w:rPr>
        <w:t xml:space="preserve">considered by Government to be </w:t>
      </w:r>
      <w:r w:rsidRPr="0006430F">
        <w:rPr>
          <w:rFonts w:ascii="Arial" w:eastAsia="Calibri" w:hAnsi="Arial" w:cs="Arial"/>
          <w:szCs w:val="22"/>
        </w:rPr>
        <w:t xml:space="preserve">a desirable element of the system </w:t>
      </w:r>
      <w:r w:rsidR="00466C40">
        <w:rPr>
          <w:rFonts w:ascii="Arial" w:eastAsia="Calibri" w:hAnsi="Arial" w:cs="Arial"/>
          <w:szCs w:val="22"/>
        </w:rPr>
        <w:t>and the Government sought views on how to incentivise them;</w:t>
      </w:r>
    </w:p>
    <w:p w14:paraId="46AE2B2A" w14:textId="77777777" w:rsidR="006D1273" w:rsidRDefault="006D1273" w:rsidP="005459B7">
      <w:pPr>
        <w:ind w:left="993" w:hanging="574"/>
        <w:contextualSpacing/>
        <w:rPr>
          <w:rFonts w:ascii="Arial" w:eastAsia="Calibri" w:hAnsi="Arial" w:cs="Arial"/>
          <w:szCs w:val="22"/>
        </w:rPr>
      </w:pPr>
    </w:p>
    <w:p w14:paraId="2B81A628" w14:textId="3DBBC39F" w:rsidR="002121A7" w:rsidRPr="0006430F" w:rsidRDefault="0DFB400C" w:rsidP="005459B7">
      <w:pPr>
        <w:numPr>
          <w:ilvl w:val="1"/>
          <w:numId w:val="1"/>
        </w:numPr>
        <w:ind w:left="993" w:hanging="574"/>
        <w:contextualSpacing/>
        <w:rPr>
          <w:rFonts w:ascii="Arial" w:eastAsia="Calibri" w:hAnsi="Arial" w:cs="Arial"/>
        </w:rPr>
      </w:pPr>
      <w:r w:rsidRPr="0DFB400C">
        <w:rPr>
          <w:rFonts w:ascii="Arial" w:eastAsia="Calibri" w:hAnsi="Arial" w:cs="Arial"/>
        </w:rPr>
        <w:t>Sought recommendations of hereditaments to transfer between the central and local lists confirming that councils’ baselines would be adjusted for;</w:t>
      </w:r>
    </w:p>
    <w:p w14:paraId="1294D76B" w14:textId="77777777" w:rsidR="007462A5" w:rsidRPr="0006430F" w:rsidRDefault="007462A5" w:rsidP="005459B7">
      <w:pPr>
        <w:ind w:left="993" w:hanging="574"/>
        <w:contextualSpacing/>
        <w:rPr>
          <w:rFonts w:ascii="Arial" w:eastAsia="Calibri" w:hAnsi="Arial" w:cs="Arial"/>
          <w:szCs w:val="22"/>
        </w:rPr>
      </w:pPr>
    </w:p>
    <w:p w14:paraId="5E3F8C8D" w14:textId="7EEDE333" w:rsidR="001A5E1F" w:rsidRPr="0006430F" w:rsidRDefault="00BE7751" w:rsidP="005459B7">
      <w:pPr>
        <w:numPr>
          <w:ilvl w:val="1"/>
          <w:numId w:val="1"/>
        </w:numPr>
        <w:ind w:left="993" w:hanging="574"/>
        <w:contextualSpacing/>
        <w:rPr>
          <w:rFonts w:ascii="Arial" w:eastAsia="Calibri" w:hAnsi="Arial" w:cs="Arial"/>
          <w:szCs w:val="22"/>
        </w:rPr>
      </w:pPr>
      <w:r>
        <w:rPr>
          <w:rFonts w:ascii="Arial" w:eastAsia="Calibri" w:hAnsi="Arial" w:cs="Arial"/>
          <w:szCs w:val="22"/>
        </w:rPr>
        <w:t>The document reaffirmed</w:t>
      </w:r>
      <w:r w:rsidR="001A5E1F" w:rsidRPr="0006430F">
        <w:rPr>
          <w:rFonts w:ascii="Arial" w:eastAsia="Calibri" w:hAnsi="Arial" w:cs="Arial"/>
          <w:szCs w:val="22"/>
        </w:rPr>
        <w:t xml:space="preserve"> the Government</w:t>
      </w:r>
      <w:r>
        <w:rPr>
          <w:rFonts w:ascii="Arial" w:eastAsia="Calibri" w:hAnsi="Arial" w:cs="Arial"/>
          <w:szCs w:val="22"/>
        </w:rPr>
        <w:t>’s</w:t>
      </w:r>
      <w:r w:rsidR="001A5E1F" w:rsidRPr="0006430F">
        <w:rPr>
          <w:rFonts w:ascii="Arial" w:eastAsia="Calibri" w:hAnsi="Arial" w:cs="Arial"/>
          <w:szCs w:val="22"/>
        </w:rPr>
        <w:t xml:space="preserve"> commitment to address the impact of appeals on council budgets</w:t>
      </w:r>
      <w:r w:rsidR="00F11E80">
        <w:rPr>
          <w:rFonts w:ascii="Arial" w:eastAsia="Calibri" w:hAnsi="Arial" w:cs="Arial"/>
          <w:szCs w:val="22"/>
        </w:rPr>
        <w:t xml:space="preserve"> and concluded</w:t>
      </w:r>
      <w:r w:rsidR="00B67CF7" w:rsidRPr="0006430F">
        <w:rPr>
          <w:rFonts w:ascii="Arial" w:eastAsia="Calibri" w:hAnsi="Arial" w:cs="Arial"/>
          <w:szCs w:val="22"/>
        </w:rPr>
        <w:t xml:space="preserve"> </w:t>
      </w:r>
      <w:r w:rsidR="00F11E80">
        <w:rPr>
          <w:rFonts w:ascii="Arial" w:eastAsia="Calibri" w:hAnsi="Arial" w:cs="Arial"/>
          <w:szCs w:val="22"/>
        </w:rPr>
        <w:t>the</w:t>
      </w:r>
      <w:r w:rsidR="00B67CF7" w:rsidRPr="0006430F">
        <w:rPr>
          <w:rFonts w:ascii="Arial" w:eastAsia="Calibri" w:hAnsi="Arial" w:cs="Arial"/>
          <w:szCs w:val="22"/>
        </w:rPr>
        <w:t xml:space="preserve"> </w:t>
      </w:r>
      <w:r w:rsidR="001A5E1F" w:rsidRPr="0006430F">
        <w:rPr>
          <w:rFonts w:ascii="Arial" w:eastAsia="Calibri" w:hAnsi="Arial" w:cs="Arial"/>
          <w:szCs w:val="22"/>
        </w:rPr>
        <w:t xml:space="preserve">alternative </w:t>
      </w:r>
      <w:r w:rsidR="00B67CF7" w:rsidRPr="0006430F">
        <w:rPr>
          <w:rFonts w:ascii="Arial" w:eastAsia="Calibri" w:hAnsi="Arial" w:cs="Arial"/>
          <w:szCs w:val="22"/>
        </w:rPr>
        <w:t xml:space="preserve">administration </w:t>
      </w:r>
      <w:r w:rsidR="001A5E1F" w:rsidRPr="0006430F">
        <w:rPr>
          <w:rFonts w:ascii="Arial" w:eastAsia="Calibri" w:hAnsi="Arial" w:cs="Arial"/>
          <w:szCs w:val="22"/>
        </w:rPr>
        <w:t>approach</w:t>
      </w:r>
      <w:r w:rsidR="00F11E80">
        <w:rPr>
          <w:rFonts w:ascii="Arial" w:eastAsia="Calibri" w:hAnsi="Arial" w:cs="Arial"/>
          <w:szCs w:val="22"/>
        </w:rPr>
        <w:t xml:space="preserve"> </w:t>
      </w:r>
      <w:r w:rsidR="008F15C9" w:rsidRPr="00F11E80">
        <w:rPr>
          <w:rFonts w:ascii="Arial" w:eastAsia="Calibri" w:hAnsi="Arial" w:cs="Arial"/>
          <w:szCs w:val="22"/>
        </w:rPr>
        <w:t xml:space="preserve">model </w:t>
      </w:r>
      <w:r w:rsidR="008F15C9">
        <w:rPr>
          <w:rFonts w:ascii="Arial" w:eastAsia="Calibri" w:hAnsi="Arial" w:cs="Arial"/>
          <w:szCs w:val="22"/>
        </w:rPr>
        <w:t xml:space="preserve">(which was summarised in a previous report to Resources Board) </w:t>
      </w:r>
      <w:r w:rsidR="00F11E80">
        <w:rPr>
          <w:rFonts w:ascii="Arial" w:eastAsia="Calibri" w:hAnsi="Arial" w:cs="Arial"/>
          <w:szCs w:val="22"/>
        </w:rPr>
        <w:t>was</w:t>
      </w:r>
      <w:r w:rsidR="001A5E1F" w:rsidRPr="0006430F">
        <w:rPr>
          <w:rFonts w:ascii="Arial" w:eastAsia="Calibri" w:hAnsi="Arial" w:cs="Arial"/>
          <w:szCs w:val="22"/>
        </w:rPr>
        <w:t xml:space="preserve"> the only way to address appeals volatility</w:t>
      </w:r>
      <w:r w:rsidR="00F11E80">
        <w:rPr>
          <w:rFonts w:ascii="Arial" w:eastAsia="Calibri" w:hAnsi="Arial" w:cs="Arial"/>
          <w:szCs w:val="22"/>
        </w:rPr>
        <w:t xml:space="preserve">. </w:t>
      </w:r>
      <w:r w:rsidR="001A5E1F" w:rsidRPr="0006430F">
        <w:rPr>
          <w:rFonts w:ascii="Arial" w:eastAsia="Calibri" w:hAnsi="Arial" w:cs="Arial"/>
          <w:szCs w:val="22"/>
        </w:rPr>
        <w:t xml:space="preserve">The Government believe this would enable the impact of appeals and provisions to be stripped out ensuring that the benefits of growth </w:t>
      </w:r>
      <w:r w:rsidR="00F11E80">
        <w:rPr>
          <w:rFonts w:ascii="Arial" w:eastAsia="Calibri" w:hAnsi="Arial" w:cs="Arial"/>
          <w:szCs w:val="22"/>
        </w:rPr>
        <w:t>are kept by councils (subject to the levy)</w:t>
      </w:r>
      <w:r w:rsidR="001A5E1F" w:rsidRPr="0006430F">
        <w:rPr>
          <w:rFonts w:ascii="Arial" w:eastAsia="Calibri" w:hAnsi="Arial" w:cs="Arial"/>
          <w:szCs w:val="22"/>
        </w:rPr>
        <w:t xml:space="preserve">. </w:t>
      </w:r>
    </w:p>
    <w:p w14:paraId="6A77FAF1" w14:textId="77777777" w:rsidR="00E80A6A" w:rsidRPr="00E80A6A" w:rsidRDefault="00E80A6A" w:rsidP="005459B7">
      <w:pPr>
        <w:pStyle w:val="ListParagraph"/>
        <w:ind w:left="993" w:hanging="574"/>
        <w:rPr>
          <w:rFonts w:ascii="Arial" w:hAnsi="Arial" w:cs="Arial"/>
          <w:szCs w:val="22"/>
        </w:rPr>
      </w:pPr>
    </w:p>
    <w:p w14:paraId="7F15D9A4" w14:textId="5889C0CE" w:rsidR="00E80A6A" w:rsidRPr="007B237A" w:rsidRDefault="00F11E80" w:rsidP="007B237A">
      <w:pPr>
        <w:pStyle w:val="ListParagraph"/>
        <w:numPr>
          <w:ilvl w:val="0"/>
          <w:numId w:val="1"/>
        </w:numPr>
        <w:rPr>
          <w:rFonts w:ascii="Arial" w:hAnsi="Arial" w:cs="Arial"/>
          <w:szCs w:val="22"/>
        </w:rPr>
      </w:pPr>
      <w:r>
        <w:rPr>
          <w:rFonts w:ascii="Arial" w:hAnsi="Arial" w:cs="Arial"/>
          <w:szCs w:val="22"/>
        </w:rPr>
        <w:t xml:space="preserve">As with the response to the Fair Funding Review consultation, the response to </w:t>
      </w:r>
      <w:hyperlink r:id="rId23" w:history="1">
        <w:r w:rsidRPr="00565837">
          <w:rPr>
            <w:rStyle w:val="Hyperlink"/>
            <w:rFonts w:ascii="Arial" w:hAnsi="Arial" w:cs="Arial"/>
            <w:szCs w:val="22"/>
          </w:rPr>
          <w:t>the Business Rates Retention consultation</w:t>
        </w:r>
      </w:hyperlink>
      <w:r>
        <w:rPr>
          <w:rFonts w:ascii="Arial" w:hAnsi="Arial" w:cs="Arial"/>
          <w:szCs w:val="22"/>
        </w:rPr>
        <w:t xml:space="preserve"> was developed following discussions at the Task and Finish Group on Further Business Rates Retention and the Fair Funding Review. It received the support of Leadership Board and Executive at their January meetings and </w:t>
      </w:r>
      <w:r w:rsidRPr="00F86AD2">
        <w:rPr>
          <w:rFonts w:ascii="Arial" w:hAnsi="Arial" w:cs="Arial"/>
          <w:szCs w:val="22"/>
        </w:rPr>
        <w:t>final clearance by the Chairman and Group Leaders. In summary</w:t>
      </w:r>
      <w:r>
        <w:rPr>
          <w:rFonts w:ascii="Arial" w:hAnsi="Arial" w:cs="Arial"/>
          <w:szCs w:val="22"/>
        </w:rPr>
        <w:t>:</w:t>
      </w:r>
      <w:r w:rsidRPr="00F86AD2">
        <w:rPr>
          <w:rFonts w:ascii="Arial" w:hAnsi="Arial" w:cs="Arial"/>
          <w:szCs w:val="22"/>
        </w:rPr>
        <w:t xml:space="preserve"> the </w:t>
      </w:r>
      <w:r>
        <w:rPr>
          <w:rFonts w:ascii="Arial" w:hAnsi="Arial" w:cs="Arial"/>
          <w:szCs w:val="22"/>
        </w:rPr>
        <w:t>LGA:</w:t>
      </w:r>
    </w:p>
    <w:p w14:paraId="3A7A43BC" w14:textId="77777777" w:rsidR="003D3439" w:rsidRDefault="003D3439" w:rsidP="003D3439">
      <w:pPr>
        <w:pStyle w:val="ListParagraph"/>
        <w:ind w:left="360"/>
        <w:rPr>
          <w:rFonts w:ascii="Arial" w:hAnsi="Arial" w:cs="Arial"/>
          <w:szCs w:val="22"/>
        </w:rPr>
      </w:pPr>
    </w:p>
    <w:p w14:paraId="544EEBE9" w14:textId="0CB6EC53" w:rsidR="00F11E80" w:rsidRDefault="00F11E80" w:rsidP="005459B7">
      <w:pPr>
        <w:numPr>
          <w:ilvl w:val="1"/>
          <w:numId w:val="1"/>
        </w:numPr>
        <w:ind w:left="993" w:hanging="574"/>
        <w:contextualSpacing/>
        <w:rPr>
          <w:rFonts w:ascii="Arial" w:eastAsia="Calibri" w:hAnsi="Arial" w:cs="Arial"/>
          <w:szCs w:val="22"/>
        </w:rPr>
      </w:pPr>
      <w:r w:rsidRPr="00F11E80">
        <w:rPr>
          <w:rFonts w:ascii="Arial" w:eastAsia="Calibri" w:hAnsi="Arial" w:cs="Arial"/>
          <w:szCs w:val="22"/>
        </w:rPr>
        <w:t xml:space="preserve">Recognised </w:t>
      </w:r>
      <w:r w:rsidR="003D3439" w:rsidRPr="00F11E80">
        <w:rPr>
          <w:rFonts w:ascii="Arial" w:eastAsia="Calibri" w:hAnsi="Arial" w:cs="Arial"/>
          <w:szCs w:val="22"/>
        </w:rPr>
        <w:t xml:space="preserve">the </w:t>
      </w:r>
      <w:r w:rsidRPr="00F11E80">
        <w:rPr>
          <w:rFonts w:ascii="Arial" w:eastAsia="Calibri" w:hAnsi="Arial" w:cs="Arial"/>
          <w:szCs w:val="22"/>
        </w:rPr>
        <w:t xml:space="preserve">potential </w:t>
      </w:r>
      <w:r w:rsidR="003D3439" w:rsidRPr="00F11E80">
        <w:rPr>
          <w:rFonts w:ascii="Arial" w:eastAsia="Calibri" w:hAnsi="Arial" w:cs="Arial"/>
          <w:szCs w:val="22"/>
        </w:rPr>
        <w:t xml:space="preserve">merits of phased resets </w:t>
      </w:r>
      <w:r w:rsidRPr="00F11E80">
        <w:rPr>
          <w:rFonts w:ascii="Arial" w:eastAsia="Calibri" w:hAnsi="Arial" w:cs="Arial"/>
          <w:szCs w:val="22"/>
        </w:rPr>
        <w:t>but requested</w:t>
      </w:r>
      <w:r w:rsidR="003D3439" w:rsidRPr="00F11E80">
        <w:rPr>
          <w:rFonts w:ascii="Arial" w:eastAsia="Calibri" w:hAnsi="Arial" w:cs="Arial"/>
          <w:szCs w:val="22"/>
        </w:rPr>
        <w:t xml:space="preserve"> modelling</w:t>
      </w:r>
      <w:r>
        <w:rPr>
          <w:rFonts w:ascii="Arial" w:eastAsia="Calibri" w:hAnsi="Arial" w:cs="Arial"/>
          <w:szCs w:val="22"/>
        </w:rPr>
        <w:t xml:space="preserve"> in order to make an informed decision.</w:t>
      </w:r>
    </w:p>
    <w:p w14:paraId="6DF12BD9" w14:textId="77777777" w:rsidR="00F11E80" w:rsidRPr="00F11E80" w:rsidRDefault="00F11E80" w:rsidP="005459B7">
      <w:pPr>
        <w:ind w:left="993" w:hanging="574"/>
        <w:contextualSpacing/>
        <w:rPr>
          <w:rFonts w:ascii="Arial" w:eastAsia="Calibri" w:hAnsi="Arial" w:cs="Arial"/>
          <w:szCs w:val="22"/>
        </w:rPr>
      </w:pPr>
    </w:p>
    <w:p w14:paraId="686DB8E5" w14:textId="6094DDAE" w:rsidR="00F11E80" w:rsidRDefault="00F11E80" w:rsidP="005459B7">
      <w:pPr>
        <w:numPr>
          <w:ilvl w:val="1"/>
          <w:numId w:val="1"/>
        </w:numPr>
        <w:ind w:left="993" w:hanging="574"/>
        <w:contextualSpacing/>
        <w:rPr>
          <w:rFonts w:ascii="Arial" w:eastAsia="Calibri" w:hAnsi="Arial" w:cs="Arial"/>
          <w:szCs w:val="22"/>
        </w:rPr>
      </w:pPr>
      <w:r w:rsidRPr="00F11E80">
        <w:rPr>
          <w:rFonts w:ascii="Arial" w:eastAsia="Calibri" w:hAnsi="Arial" w:cs="Arial"/>
          <w:szCs w:val="22"/>
        </w:rPr>
        <w:lastRenderedPageBreak/>
        <w:t xml:space="preserve">Supported the continued use of </w:t>
      </w:r>
      <w:r>
        <w:rPr>
          <w:rFonts w:ascii="Arial" w:eastAsia="Calibri" w:hAnsi="Arial" w:cs="Arial"/>
          <w:szCs w:val="22"/>
        </w:rPr>
        <w:t xml:space="preserve">a </w:t>
      </w:r>
      <w:r w:rsidRPr="00F11E80">
        <w:rPr>
          <w:rFonts w:ascii="Arial" w:eastAsia="Calibri" w:hAnsi="Arial" w:cs="Arial"/>
          <w:szCs w:val="22"/>
        </w:rPr>
        <w:t>safety net</w:t>
      </w:r>
      <w:r w:rsidR="003D3439" w:rsidRPr="00F11E80">
        <w:rPr>
          <w:rFonts w:ascii="Arial" w:eastAsia="Calibri" w:hAnsi="Arial" w:cs="Arial"/>
          <w:szCs w:val="22"/>
        </w:rPr>
        <w:t xml:space="preserve"> with its level to</w:t>
      </w:r>
      <w:r w:rsidRPr="00F11E80">
        <w:rPr>
          <w:rFonts w:ascii="Arial" w:eastAsia="Calibri" w:hAnsi="Arial" w:cs="Arial"/>
          <w:szCs w:val="22"/>
        </w:rPr>
        <w:t xml:space="preserve"> be determined at a later date.</w:t>
      </w:r>
    </w:p>
    <w:p w14:paraId="4523A727" w14:textId="77777777" w:rsidR="00F11E80" w:rsidRPr="00F11E80" w:rsidRDefault="00F11E80" w:rsidP="005459B7">
      <w:pPr>
        <w:ind w:left="993" w:hanging="574"/>
        <w:contextualSpacing/>
        <w:rPr>
          <w:rFonts w:ascii="Arial" w:eastAsia="Calibri" w:hAnsi="Arial" w:cs="Arial"/>
          <w:szCs w:val="22"/>
        </w:rPr>
      </w:pPr>
    </w:p>
    <w:p w14:paraId="47035A7B" w14:textId="4C3E2526" w:rsidR="00756749" w:rsidRDefault="00F11E80" w:rsidP="005459B7">
      <w:pPr>
        <w:numPr>
          <w:ilvl w:val="1"/>
          <w:numId w:val="1"/>
        </w:numPr>
        <w:ind w:left="993" w:hanging="574"/>
        <w:contextualSpacing/>
        <w:rPr>
          <w:rFonts w:ascii="Arial" w:eastAsia="Calibri" w:hAnsi="Arial" w:cs="Arial"/>
          <w:szCs w:val="22"/>
        </w:rPr>
      </w:pPr>
      <w:r>
        <w:rPr>
          <w:rFonts w:ascii="Arial" w:eastAsia="Calibri" w:hAnsi="Arial" w:cs="Arial"/>
          <w:szCs w:val="22"/>
        </w:rPr>
        <w:t>Did not express an o</w:t>
      </w:r>
      <w:r w:rsidR="00B73126">
        <w:rPr>
          <w:rFonts w:ascii="Arial" w:eastAsia="Calibri" w:hAnsi="Arial" w:cs="Arial"/>
          <w:szCs w:val="22"/>
        </w:rPr>
        <w:t>pinion on the level of the levy</w:t>
      </w:r>
      <w:r>
        <w:rPr>
          <w:rFonts w:ascii="Arial" w:eastAsia="Calibri" w:hAnsi="Arial" w:cs="Arial"/>
          <w:szCs w:val="22"/>
        </w:rPr>
        <w:t xml:space="preserve"> due to the differing views of member authorities.</w:t>
      </w:r>
    </w:p>
    <w:p w14:paraId="106ABED1" w14:textId="77777777" w:rsidR="00F11E80" w:rsidRPr="00F11E80" w:rsidRDefault="00F11E80" w:rsidP="005459B7">
      <w:pPr>
        <w:ind w:left="993" w:hanging="574"/>
        <w:contextualSpacing/>
        <w:rPr>
          <w:rFonts w:ascii="Arial" w:eastAsia="Calibri" w:hAnsi="Arial" w:cs="Arial"/>
          <w:szCs w:val="22"/>
        </w:rPr>
      </w:pPr>
    </w:p>
    <w:p w14:paraId="4AF246A8" w14:textId="02A95D27" w:rsidR="00756749" w:rsidRDefault="00277CE1" w:rsidP="005459B7">
      <w:pPr>
        <w:numPr>
          <w:ilvl w:val="1"/>
          <w:numId w:val="1"/>
        </w:numPr>
        <w:ind w:left="993" w:hanging="574"/>
        <w:contextualSpacing/>
        <w:rPr>
          <w:rFonts w:ascii="Arial" w:eastAsia="Calibri" w:hAnsi="Arial" w:cs="Arial"/>
          <w:szCs w:val="22"/>
        </w:rPr>
      </w:pPr>
      <w:r>
        <w:rPr>
          <w:rFonts w:ascii="Arial" w:eastAsia="Calibri" w:hAnsi="Arial" w:cs="Arial"/>
          <w:szCs w:val="22"/>
        </w:rPr>
        <w:t>Supported</w:t>
      </w:r>
      <w:r w:rsidR="00756749" w:rsidRPr="00F11E80">
        <w:rPr>
          <w:rFonts w:ascii="Arial" w:eastAsia="Calibri" w:hAnsi="Arial" w:cs="Arial"/>
          <w:szCs w:val="22"/>
        </w:rPr>
        <w:t xml:space="preserve"> continued discussions between shire districts and shire counties on tier splits and other elements of the system</w:t>
      </w:r>
      <w:r w:rsidR="00F11E80" w:rsidRPr="00F11E80">
        <w:rPr>
          <w:rFonts w:ascii="Arial" w:eastAsia="Calibri" w:hAnsi="Arial" w:cs="Arial"/>
          <w:szCs w:val="22"/>
        </w:rPr>
        <w:t>.</w:t>
      </w:r>
      <w:r>
        <w:rPr>
          <w:rFonts w:ascii="Arial" w:eastAsia="Calibri" w:hAnsi="Arial" w:cs="Arial"/>
          <w:szCs w:val="22"/>
        </w:rPr>
        <w:t xml:space="preserve"> Recognising a </w:t>
      </w:r>
      <w:r w:rsidR="00756749" w:rsidRPr="00F11E80">
        <w:rPr>
          <w:rFonts w:ascii="Arial" w:eastAsia="Calibri" w:hAnsi="Arial" w:cs="Arial"/>
          <w:szCs w:val="22"/>
        </w:rPr>
        <w:t>fall-back position is likely to be necessary.</w:t>
      </w:r>
    </w:p>
    <w:p w14:paraId="5C839F65" w14:textId="34F624BF" w:rsidR="00F11E80" w:rsidRPr="00277CE1" w:rsidRDefault="00F11E80" w:rsidP="005459B7">
      <w:pPr>
        <w:ind w:left="993" w:hanging="574"/>
        <w:rPr>
          <w:rFonts w:ascii="Arial" w:eastAsia="Calibri" w:hAnsi="Arial" w:cs="Arial"/>
          <w:szCs w:val="22"/>
        </w:rPr>
      </w:pPr>
    </w:p>
    <w:p w14:paraId="428B3936" w14:textId="43D428EB" w:rsidR="00756749" w:rsidRPr="00F11E80" w:rsidRDefault="00FA1E79" w:rsidP="005459B7">
      <w:pPr>
        <w:numPr>
          <w:ilvl w:val="1"/>
          <w:numId w:val="1"/>
        </w:numPr>
        <w:ind w:left="993" w:hanging="574"/>
        <w:contextualSpacing/>
        <w:rPr>
          <w:rFonts w:ascii="Arial" w:eastAsia="Calibri" w:hAnsi="Arial" w:cs="Arial"/>
          <w:szCs w:val="22"/>
        </w:rPr>
      </w:pPr>
      <w:r>
        <w:rPr>
          <w:rFonts w:ascii="Arial" w:eastAsia="Calibri" w:hAnsi="Arial" w:cs="Arial"/>
          <w:szCs w:val="22"/>
        </w:rPr>
        <w:t>Noted</w:t>
      </w:r>
      <w:r w:rsidR="00756749" w:rsidRPr="00F11E80">
        <w:rPr>
          <w:rFonts w:ascii="Arial" w:eastAsia="Calibri" w:hAnsi="Arial" w:cs="Arial"/>
          <w:szCs w:val="22"/>
        </w:rPr>
        <w:t xml:space="preserve"> the Government’s view that the alternative administration is </w:t>
      </w:r>
      <w:r>
        <w:rPr>
          <w:rFonts w:ascii="Arial" w:eastAsia="Calibri" w:hAnsi="Arial" w:cs="Arial"/>
          <w:szCs w:val="22"/>
        </w:rPr>
        <w:t xml:space="preserve">considered to be </w:t>
      </w:r>
      <w:r w:rsidR="00756749" w:rsidRPr="00F11E80">
        <w:rPr>
          <w:rFonts w:ascii="Arial" w:eastAsia="Calibri" w:hAnsi="Arial" w:cs="Arial"/>
          <w:szCs w:val="22"/>
        </w:rPr>
        <w:t xml:space="preserve">the only feasible approach </w:t>
      </w:r>
      <w:r>
        <w:rPr>
          <w:rFonts w:ascii="Arial" w:eastAsia="Calibri" w:hAnsi="Arial" w:cs="Arial"/>
          <w:szCs w:val="22"/>
        </w:rPr>
        <w:t>to deal with</w:t>
      </w:r>
      <w:r w:rsidR="00756749" w:rsidRPr="00F11E80">
        <w:rPr>
          <w:rFonts w:ascii="Arial" w:eastAsia="Calibri" w:hAnsi="Arial" w:cs="Arial"/>
          <w:szCs w:val="22"/>
        </w:rPr>
        <w:t xml:space="preserve"> appeals volatility.</w:t>
      </w:r>
      <w:r w:rsidR="002415E1" w:rsidRPr="00F11E80">
        <w:rPr>
          <w:rFonts w:ascii="Arial" w:eastAsia="Calibri" w:hAnsi="Arial" w:cs="Arial"/>
          <w:szCs w:val="22"/>
        </w:rPr>
        <w:t xml:space="preserve"> We suppor</w:t>
      </w:r>
      <w:r>
        <w:rPr>
          <w:rFonts w:ascii="Arial" w:eastAsia="Calibri" w:hAnsi="Arial" w:cs="Arial"/>
          <w:szCs w:val="22"/>
        </w:rPr>
        <w:t>ted</w:t>
      </w:r>
      <w:r w:rsidR="002415E1" w:rsidRPr="00F11E80">
        <w:rPr>
          <w:rFonts w:ascii="Arial" w:eastAsia="Calibri" w:hAnsi="Arial" w:cs="Arial"/>
          <w:szCs w:val="22"/>
        </w:rPr>
        <w:t xml:space="preserve"> continued exploration of this</w:t>
      </w:r>
      <w:r>
        <w:rPr>
          <w:rFonts w:ascii="Arial" w:eastAsia="Calibri" w:hAnsi="Arial" w:cs="Arial"/>
          <w:szCs w:val="22"/>
        </w:rPr>
        <w:t xml:space="preserve"> model</w:t>
      </w:r>
      <w:r w:rsidR="002415E1" w:rsidRPr="00F11E80">
        <w:rPr>
          <w:rFonts w:ascii="Arial" w:eastAsia="Calibri" w:hAnsi="Arial" w:cs="Arial"/>
          <w:szCs w:val="22"/>
        </w:rPr>
        <w:t xml:space="preserve">, subject to </w:t>
      </w:r>
      <w:r>
        <w:rPr>
          <w:rFonts w:ascii="Arial" w:eastAsia="Calibri" w:hAnsi="Arial" w:cs="Arial"/>
          <w:szCs w:val="22"/>
        </w:rPr>
        <w:t xml:space="preserve">it being explained more simply and </w:t>
      </w:r>
      <w:r w:rsidR="002415E1" w:rsidRPr="00F11E80">
        <w:rPr>
          <w:rFonts w:ascii="Arial" w:eastAsia="Calibri" w:hAnsi="Arial" w:cs="Arial"/>
          <w:szCs w:val="22"/>
        </w:rPr>
        <w:t>more transparen</w:t>
      </w:r>
      <w:r>
        <w:rPr>
          <w:rFonts w:ascii="Arial" w:eastAsia="Calibri" w:hAnsi="Arial" w:cs="Arial"/>
          <w:szCs w:val="22"/>
        </w:rPr>
        <w:t>cy</w:t>
      </w:r>
      <w:r w:rsidR="002415E1" w:rsidRPr="00F11E80">
        <w:rPr>
          <w:rFonts w:ascii="Arial" w:eastAsia="Calibri" w:hAnsi="Arial" w:cs="Arial"/>
          <w:szCs w:val="22"/>
        </w:rPr>
        <w:t xml:space="preserve"> in how it compensates for appeals.</w:t>
      </w:r>
    </w:p>
    <w:p w14:paraId="1AFA5F72" w14:textId="77777777" w:rsidR="00FB5BE3" w:rsidRPr="005E3470" w:rsidRDefault="00FB5BE3">
      <w:pPr>
        <w:rPr>
          <w:rFonts w:ascii="Arial" w:hAnsi="Arial" w:cs="Arial"/>
          <w:bCs/>
        </w:rPr>
      </w:pPr>
    </w:p>
    <w:p w14:paraId="476F57E9" w14:textId="3B571F83" w:rsidR="002415E1" w:rsidRDefault="00FA1E79" w:rsidP="009C5037">
      <w:pPr>
        <w:pStyle w:val="ListParagraph"/>
        <w:numPr>
          <w:ilvl w:val="0"/>
          <w:numId w:val="1"/>
        </w:numPr>
        <w:rPr>
          <w:rFonts w:ascii="Arial" w:hAnsi="Arial" w:cs="Arial"/>
          <w:szCs w:val="22"/>
        </w:rPr>
      </w:pPr>
      <w:r>
        <w:rPr>
          <w:rFonts w:ascii="Arial" w:hAnsi="Arial" w:cs="Arial"/>
          <w:szCs w:val="22"/>
        </w:rPr>
        <w:t>An update on the LGA’s other work on further Business Rates Retention and the Fair Funding Revie</w:t>
      </w:r>
      <w:r w:rsidR="00010619">
        <w:rPr>
          <w:rFonts w:ascii="Arial" w:hAnsi="Arial" w:cs="Arial"/>
          <w:szCs w:val="22"/>
        </w:rPr>
        <w:t>w</w:t>
      </w:r>
      <w:r>
        <w:rPr>
          <w:rFonts w:ascii="Arial" w:hAnsi="Arial" w:cs="Arial"/>
          <w:szCs w:val="22"/>
        </w:rPr>
        <w:t xml:space="preserve"> can be fo</w:t>
      </w:r>
      <w:r w:rsidR="00010619">
        <w:rPr>
          <w:rFonts w:ascii="Arial" w:hAnsi="Arial" w:cs="Arial"/>
          <w:szCs w:val="22"/>
        </w:rPr>
        <w:t xml:space="preserve">und in </w:t>
      </w:r>
      <w:r w:rsidR="00010619" w:rsidRPr="005459B7">
        <w:rPr>
          <w:rFonts w:ascii="Arial" w:hAnsi="Arial" w:cs="Arial"/>
          <w:b/>
          <w:szCs w:val="22"/>
          <w:u w:val="single"/>
        </w:rPr>
        <w:t>A</w:t>
      </w:r>
      <w:r w:rsidR="008C6AD0">
        <w:rPr>
          <w:rFonts w:ascii="Arial" w:hAnsi="Arial" w:cs="Arial"/>
          <w:b/>
          <w:szCs w:val="22"/>
          <w:u w:val="single"/>
        </w:rPr>
        <w:t xml:space="preserve">nnex </w:t>
      </w:r>
      <w:r w:rsidR="00010619" w:rsidRPr="005459B7">
        <w:rPr>
          <w:rFonts w:ascii="Arial" w:hAnsi="Arial" w:cs="Arial"/>
          <w:b/>
          <w:szCs w:val="22"/>
          <w:u w:val="single"/>
        </w:rPr>
        <w:t>A</w:t>
      </w:r>
      <w:r w:rsidR="00010619">
        <w:rPr>
          <w:rFonts w:ascii="Arial" w:hAnsi="Arial" w:cs="Arial"/>
          <w:szCs w:val="22"/>
        </w:rPr>
        <w:t xml:space="preserve">.  The LGA </w:t>
      </w:r>
      <w:r>
        <w:rPr>
          <w:rFonts w:ascii="Arial" w:hAnsi="Arial" w:cs="Arial"/>
          <w:szCs w:val="22"/>
        </w:rPr>
        <w:t xml:space="preserve">published a </w:t>
      </w:r>
      <w:hyperlink r:id="rId24" w:history="1">
        <w:r w:rsidR="00241B17">
          <w:rPr>
            <w:rStyle w:val="Hyperlink"/>
            <w:rFonts w:ascii="Arial" w:hAnsi="Arial" w:cs="Arial"/>
            <w:szCs w:val="22"/>
          </w:rPr>
          <w:t>Business Rates R</w:t>
        </w:r>
        <w:r w:rsidR="002415E1" w:rsidRPr="00FA1E79">
          <w:rPr>
            <w:rStyle w:val="Hyperlink"/>
            <w:rFonts w:ascii="Arial" w:hAnsi="Arial" w:cs="Arial"/>
            <w:szCs w:val="22"/>
          </w:rPr>
          <w:t>etention model</w:t>
        </w:r>
      </w:hyperlink>
      <w:r w:rsidR="002415E1">
        <w:rPr>
          <w:rFonts w:ascii="Arial" w:hAnsi="Arial" w:cs="Arial"/>
          <w:szCs w:val="22"/>
        </w:rPr>
        <w:t xml:space="preserve"> </w:t>
      </w:r>
      <w:r w:rsidR="00010619">
        <w:rPr>
          <w:rFonts w:ascii="Arial" w:hAnsi="Arial" w:cs="Arial"/>
          <w:szCs w:val="22"/>
        </w:rPr>
        <w:t xml:space="preserve">last year </w:t>
      </w:r>
      <w:r>
        <w:rPr>
          <w:rFonts w:ascii="Arial" w:hAnsi="Arial" w:cs="Arial"/>
          <w:szCs w:val="22"/>
        </w:rPr>
        <w:t xml:space="preserve">and has </w:t>
      </w:r>
      <w:r w:rsidR="002415E1" w:rsidRPr="001054EB">
        <w:rPr>
          <w:rFonts w:ascii="Arial" w:hAnsi="Arial" w:cs="Arial"/>
          <w:szCs w:val="22"/>
        </w:rPr>
        <w:t>commissioned</w:t>
      </w:r>
      <w:r>
        <w:rPr>
          <w:rFonts w:ascii="Arial" w:hAnsi="Arial" w:cs="Arial"/>
          <w:szCs w:val="22"/>
        </w:rPr>
        <w:t xml:space="preserve"> </w:t>
      </w:r>
      <w:proofErr w:type="spellStart"/>
      <w:r>
        <w:rPr>
          <w:rFonts w:ascii="Arial" w:hAnsi="Arial" w:cs="Arial"/>
          <w:szCs w:val="22"/>
        </w:rPr>
        <w:t>LGFutures</w:t>
      </w:r>
      <w:proofErr w:type="spellEnd"/>
      <w:r>
        <w:rPr>
          <w:rFonts w:ascii="Arial" w:hAnsi="Arial" w:cs="Arial"/>
          <w:szCs w:val="22"/>
        </w:rPr>
        <w:t xml:space="preserve"> Ltd </w:t>
      </w:r>
      <w:r w:rsidR="002415E1" w:rsidRPr="001054EB">
        <w:rPr>
          <w:rFonts w:ascii="Arial" w:hAnsi="Arial" w:cs="Arial"/>
          <w:szCs w:val="22"/>
        </w:rPr>
        <w:t xml:space="preserve">to </w:t>
      </w:r>
      <w:r w:rsidR="00241B17">
        <w:rPr>
          <w:rFonts w:ascii="Arial" w:hAnsi="Arial" w:cs="Arial"/>
          <w:szCs w:val="22"/>
        </w:rPr>
        <w:t>produce a further model on</w:t>
      </w:r>
      <w:r w:rsidR="002415E1">
        <w:rPr>
          <w:rFonts w:ascii="Arial" w:hAnsi="Arial" w:cs="Arial"/>
          <w:szCs w:val="22"/>
        </w:rPr>
        <w:t xml:space="preserve"> the alternative administration </w:t>
      </w:r>
      <w:r w:rsidR="00241B17">
        <w:rPr>
          <w:rFonts w:ascii="Arial" w:hAnsi="Arial" w:cs="Arial"/>
          <w:szCs w:val="22"/>
        </w:rPr>
        <w:t>of the system</w:t>
      </w:r>
      <w:r>
        <w:rPr>
          <w:rFonts w:ascii="Arial" w:hAnsi="Arial" w:cs="Arial"/>
          <w:szCs w:val="22"/>
        </w:rPr>
        <w:t xml:space="preserve"> which will allow users to explore the impact of the proposed model of business rates retention</w:t>
      </w:r>
      <w:r w:rsidR="00BA7EE9">
        <w:rPr>
          <w:rFonts w:ascii="Arial" w:hAnsi="Arial" w:cs="Arial"/>
          <w:szCs w:val="22"/>
        </w:rPr>
        <w:t xml:space="preserve">. </w:t>
      </w:r>
      <w:r w:rsidR="002415E1">
        <w:rPr>
          <w:rFonts w:ascii="Arial" w:hAnsi="Arial" w:cs="Arial"/>
          <w:szCs w:val="22"/>
        </w:rPr>
        <w:t>This will be signed off by the Chairman and Group Leaders in a similar way to the existing model.</w:t>
      </w:r>
    </w:p>
    <w:p w14:paraId="5529FCAB" w14:textId="77777777" w:rsidR="00322D77" w:rsidRDefault="00322D77" w:rsidP="00322D77">
      <w:pPr>
        <w:pStyle w:val="ListParagraph"/>
        <w:ind w:left="360"/>
        <w:rPr>
          <w:rFonts w:ascii="Arial" w:hAnsi="Arial" w:cs="Arial"/>
          <w:szCs w:val="22"/>
        </w:rPr>
      </w:pPr>
    </w:p>
    <w:p w14:paraId="0A3DBE43" w14:textId="5EABA270" w:rsidR="00322D77" w:rsidRPr="00F24BE2" w:rsidRDefault="00241B17">
      <w:pPr>
        <w:pStyle w:val="ListParagraph"/>
        <w:numPr>
          <w:ilvl w:val="0"/>
          <w:numId w:val="1"/>
        </w:numPr>
        <w:rPr>
          <w:rFonts w:ascii="Arial" w:hAnsi="Arial" w:cs="Arial"/>
        </w:rPr>
      </w:pPr>
      <w:r w:rsidRPr="00D254BE">
        <w:rPr>
          <w:rFonts w:ascii="Arial" w:hAnsi="Arial" w:cs="Arial"/>
        </w:rPr>
        <w:t xml:space="preserve">During January and February 2019 the LGA ran a series of joint LGA / MHCLG </w:t>
      </w:r>
      <w:r w:rsidR="00322D77" w:rsidRPr="00D254BE">
        <w:rPr>
          <w:rFonts w:ascii="Arial" w:hAnsi="Arial" w:cs="Arial"/>
        </w:rPr>
        <w:t xml:space="preserve">regional events </w:t>
      </w:r>
      <w:r w:rsidRPr="00D254BE">
        <w:rPr>
          <w:rFonts w:ascii="Arial" w:hAnsi="Arial" w:cs="Arial"/>
        </w:rPr>
        <w:t>on the</w:t>
      </w:r>
      <w:r w:rsidR="00322D77" w:rsidRPr="00D254BE">
        <w:rPr>
          <w:rFonts w:ascii="Arial" w:hAnsi="Arial" w:cs="Arial"/>
        </w:rPr>
        <w:t xml:space="preserve"> </w:t>
      </w:r>
      <w:r w:rsidR="0090218D" w:rsidRPr="00D254BE">
        <w:rPr>
          <w:rFonts w:ascii="Arial" w:hAnsi="Arial" w:cs="Arial"/>
        </w:rPr>
        <w:t>Needs and Resources and the Business Rates Retention</w:t>
      </w:r>
      <w:r w:rsidR="00322D77" w:rsidRPr="00D254BE">
        <w:rPr>
          <w:rFonts w:ascii="Arial" w:hAnsi="Arial" w:cs="Arial"/>
        </w:rPr>
        <w:t xml:space="preserve"> consultations</w:t>
      </w:r>
      <w:r w:rsidRPr="00D254BE">
        <w:rPr>
          <w:rFonts w:ascii="Arial" w:hAnsi="Arial" w:cs="Arial"/>
        </w:rPr>
        <w:t xml:space="preserve"> to allow delegates to </w:t>
      </w:r>
      <w:r w:rsidR="00322D77" w:rsidRPr="00D254BE">
        <w:rPr>
          <w:rFonts w:ascii="Arial" w:hAnsi="Arial" w:cs="Arial"/>
        </w:rPr>
        <w:t>hear from MHCLG and LGA offi</w:t>
      </w:r>
      <w:r w:rsidR="005F13E6" w:rsidRPr="00D254BE">
        <w:rPr>
          <w:rFonts w:ascii="Arial" w:hAnsi="Arial" w:cs="Arial"/>
        </w:rPr>
        <w:t>cers</w:t>
      </w:r>
      <w:r w:rsidR="00B73502" w:rsidRPr="00D254BE">
        <w:rPr>
          <w:rFonts w:ascii="Arial" w:hAnsi="Arial" w:cs="Arial"/>
        </w:rPr>
        <w:t>, to ask questions and to make comments</w:t>
      </w:r>
      <w:r w:rsidR="00BA7EE9" w:rsidRPr="00F24BE2">
        <w:rPr>
          <w:rFonts w:ascii="Arial" w:hAnsi="Arial" w:cs="Arial"/>
        </w:rPr>
        <w:t xml:space="preserve">. </w:t>
      </w:r>
      <w:r w:rsidR="005F13E6" w:rsidRPr="00F24BE2">
        <w:rPr>
          <w:rFonts w:ascii="Arial" w:hAnsi="Arial" w:cs="Arial"/>
        </w:rPr>
        <w:t>Events were held in</w:t>
      </w:r>
      <w:r w:rsidRPr="00F24BE2">
        <w:rPr>
          <w:rFonts w:ascii="Arial" w:hAnsi="Arial" w:cs="Arial"/>
        </w:rPr>
        <w:t xml:space="preserve"> Birmingham,</w:t>
      </w:r>
      <w:r w:rsidR="005F13E6" w:rsidRPr="00F24BE2">
        <w:rPr>
          <w:rFonts w:ascii="Arial" w:hAnsi="Arial" w:cs="Arial"/>
        </w:rPr>
        <w:t xml:space="preserve"> </w:t>
      </w:r>
      <w:r w:rsidRPr="00F24BE2">
        <w:rPr>
          <w:rFonts w:ascii="Arial" w:hAnsi="Arial" w:cs="Arial"/>
        </w:rPr>
        <w:t xml:space="preserve">Bury St Edmunds, Leeds, </w:t>
      </w:r>
      <w:r w:rsidR="005F13E6" w:rsidRPr="00F24BE2">
        <w:rPr>
          <w:rFonts w:ascii="Arial" w:hAnsi="Arial" w:cs="Arial"/>
        </w:rPr>
        <w:t xml:space="preserve">London, </w:t>
      </w:r>
      <w:r w:rsidRPr="00F24BE2">
        <w:rPr>
          <w:rFonts w:ascii="Arial" w:hAnsi="Arial" w:cs="Arial"/>
        </w:rPr>
        <w:t xml:space="preserve">and </w:t>
      </w:r>
      <w:r w:rsidR="005F13E6" w:rsidRPr="00F24BE2">
        <w:rPr>
          <w:rFonts w:ascii="Arial" w:hAnsi="Arial" w:cs="Arial"/>
        </w:rPr>
        <w:t>Taunton</w:t>
      </w:r>
      <w:r w:rsidR="00F11291" w:rsidRPr="00F24BE2">
        <w:rPr>
          <w:rFonts w:ascii="Arial" w:hAnsi="Arial" w:cs="Arial"/>
        </w:rPr>
        <w:t xml:space="preserve"> </w:t>
      </w:r>
      <w:r w:rsidRPr="00F24BE2">
        <w:rPr>
          <w:rFonts w:ascii="Arial" w:hAnsi="Arial" w:cs="Arial"/>
        </w:rPr>
        <w:t xml:space="preserve">and were attended by </w:t>
      </w:r>
      <w:r w:rsidR="36696068" w:rsidRPr="00D254BE">
        <w:rPr>
          <w:rFonts w:ascii="Arial" w:hAnsi="Arial" w:cs="Arial"/>
        </w:rPr>
        <w:t>235</w:t>
      </w:r>
      <w:r w:rsidRPr="00D254BE">
        <w:rPr>
          <w:rFonts w:ascii="Arial" w:hAnsi="Arial" w:cs="Arial"/>
        </w:rPr>
        <w:t xml:space="preserve"> delegates representing </w:t>
      </w:r>
      <w:r w:rsidR="36696068" w:rsidRPr="00D254BE">
        <w:rPr>
          <w:rFonts w:ascii="Arial" w:hAnsi="Arial" w:cs="Arial"/>
        </w:rPr>
        <w:t>155</w:t>
      </w:r>
      <w:r w:rsidRPr="00D254BE">
        <w:rPr>
          <w:rFonts w:ascii="Arial" w:hAnsi="Arial" w:cs="Arial"/>
        </w:rPr>
        <w:t xml:space="preserve"> local authorities and local authority organisations.</w:t>
      </w:r>
    </w:p>
    <w:p w14:paraId="2FC94552" w14:textId="572BD3F6" w:rsidR="00B26650" w:rsidRDefault="00B26650" w:rsidP="002415E1">
      <w:pPr>
        <w:pStyle w:val="ListParagraph"/>
        <w:ind w:left="360"/>
        <w:rPr>
          <w:rFonts w:ascii="Arial" w:hAnsi="Arial" w:cs="Arial"/>
          <w:szCs w:val="22"/>
        </w:rPr>
      </w:pPr>
    </w:p>
    <w:p w14:paraId="0D52680E" w14:textId="77777777" w:rsidR="00C33264" w:rsidRDefault="00C33264" w:rsidP="002415E1">
      <w:pPr>
        <w:pStyle w:val="ListParagraph"/>
        <w:ind w:left="360"/>
        <w:rPr>
          <w:rFonts w:ascii="Arial" w:hAnsi="Arial" w:cs="Arial"/>
          <w:szCs w:val="22"/>
        </w:rPr>
      </w:pPr>
    </w:p>
    <w:p w14:paraId="6CB87837" w14:textId="0873D518" w:rsidR="005B1D81" w:rsidRPr="00C33264" w:rsidRDefault="005B1D81" w:rsidP="005B1D81">
      <w:pPr>
        <w:rPr>
          <w:rFonts w:ascii="Arial" w:hAnsi="Arial" w:cs="Arial"/>
          <w:b/>
          <w:bCs/>
        </w:rPr>
      </w:pPr>
      <w:r w:rsidRPr="00C33264">
        <w:rPr>
          <w:rFonts w:ascii="Arial" w:hAnsi="Arial" w:cs="Arial"/>
          <w:b/>
          <w:bCs/>
        </w:rPr>
        <w:t xml:space="preserve">Spring Statement and </w:t>
      </w:r>
      <w:r w:rsidR="006E6488">
        <w:rPr>
          <w:rFonts w:ascii="Arial" w:hAnsi="Arial" w:cs="Arial"/>
          <w:b/>
          <w:bCs/>
        </w:rPr>
        <w:t xml:space="preserve">2019 </w:t>
      </w:r>
      <w:r w:rsidRPr="00C33264">
        <w:rPr>
          <w:rFonts w:ascii="Arial" w:hAnsi="Arial" w:cs="Arial"/>
          <w:b/>
          <w:bCs/>
        </w:rPr>
        <w:t>Spending Review</w:t>
      </w:r>
    </w:p>
    <w:p w14:paraId="7BE8D31B" w14:textId="77777777" w:rsidR="005B1D81" w:rsidRPr="00C33264" w:rsidRDefault="005B1D81" w:rsidP="00C33264">
      <w:pPr>
        <w:rPr>
          <w:rFonts w:ascii="Arial" w:hAnsi="Arial" w:cs="Arial"/>
          <w:szCs w:val="22"/>
        </w:rPr>
      </w:pPr>
    </w:p>
    <w:p w14:paraId="4850D0DE" w14:textId="25A1C595" w:rsidR="005B1D81" w:rsidRDefault="005B1D81" w:rsidP="005B1D81">
      <w:pPr>
        <w:pStyle w:val="ListParagraph"/>
        <w:numPr>
          <w:ilvl w:val="0"/>
          <w:numId w:val="1"/>
        </w:numPr>
        <w:rPr>
          <w:rFonts w:ascii="Arial" w:hAnsi="Arial" w:cs="Arial"/>
          <w:szCs w:val="22"/>
        </w:rPr>
      </w:pPr>
      <w:r>
        <w:rPr>
          <w:rFonts w:ascii="Arial" w:hAnsi="Arial" w:cs="Arial"/>
          <w:szCs w:val="22"/>
        </w:rPr>
        <w:t xml:space="preserve">The Government has confirmed that the Spring Statement will be </w:t>
      </w:r>
      <w:r w:rsidR="00775607">
        <w:rPr>
          <w:rFonts w:ascii="Arial" w:hAnsi="Arial" w:cs="Arial"/>
          <w:szCs w:val="22"/>
        </w:rPr>
        <w:t xml:space="preserve">announced </w:t>
      </w:r>
      <w:r>
        <w:rPr>
          <w:rFonts w:ascii="Arial" w:hAnsi="Arial" w:cs="Arial"/>
          <w:szCs w:val="22"/>
        </w:rPr>
        <w:t xml:space="preserve">on 13 March </w:t>
      </w:r>
      <w:r w:rsidR="009D6471">
        <w:rPr>
          <w:rFonts w:ascii="Arial" w:hAnsi="Arial" w:cs="Arial"/>
          <w:szCs w:val="22"/>
        </w:rPr>
        <w:t xml:space="preserve">2019 </w:t>
      </w:r>
      <w:r>
        <w:rPr>
          <w:rFonts w:ascii="Arial" w:hAnsi="Arial" w:cs="Arial"/>
          <w:szCs w:val="22"/>
        </w:rPr>
        <w:t>in the form of a response by the Chancellor of the Exchequer t</w:t>
      </w:r>
      <w:r w:rsidRPr="005B1D81">
        <w:rPr>
          <w:rFonts w:ascii="Arial" w:hAnsi="Arial" w:cs="Arial"/>
          <w:szCs w:val="22"/>
        </w:rPr>
        <w:t>o forecast</w:t>
      </w:r>
      <w:r w:rsidR="00794EDE">
        <w:rPr>
          <w:rFonts w:ascii="Arial" w:hAnsi="Arial" w:cs="Arial"/>
          <w:szCs w:val="22"/>
        </w:rPr>
        <w:t>s</w:t>
      </w:r>
      <w:r w:rsidRPr="005B1D81">
        <w:rPr>
          <w:rFonts w:ascii="Arial" w:hAnsi="Arial" w:cs="Arial"/>
          <w:szCs w:val="22"/>
        </w:rPr>
        <w:t xml:space="preserve"> from the Office for Budget Responsibility (OBR)</w:t>
      </w:r>
      <w:r w:rsidR="00BA7EE9">
        <w:rPr>
          <w:rFonts w:ascii="Arial" w:hAnsi="Arial" w:cs="Arial"/>
          <w:szCs w:val="22"/>
        </w:rPr>
        <w:t xml:space="preserve">. </w:t>
      </w:r>
      <w:r w:rsidR="00F748CE">
        <w:rPr>
          <w:rFonts w:ascii="Arial" w:hAnsi="Arial" w:cs="Arial"/>
          <w:szCs w:val="22"/>
        </w:rPr>
        <w:t>Like last year, t</w:t>
      </w:r>
      <w:r>
        <w:rPr>
          <w:rFonts w:ascii="Arial" w:hAnsi="Arial" w:cs="Arial"/>
          <w:szCs w:val="22"/>
        </w:rPr>
        <w:t xml:space="preserve">he Government is not </w:t>
      </w:r>
      <w:r w:rsidR="009D6471">
        <w:rPr>
          <w:rFonts w:ascii="Arial" w:hAnsi="Arial" w:cs="Arial"/>
          <w:szCs w:val="22"/>
        </w:rPr>
        <w:t xml:space="preserve">seeking submissions in advance of the </w:t>
      </w:r>
      <w:r w:rsidR="00F748CE">
        <w:rPr>
          <w:rFonts w:ascii="Arial" w:hAnsi="Arial" w:cs="Arial"/>
          <w:szCs w:val="22"/>
        </w:rPr>
        <w:t xml:space="preserve">Spring </w:t>
      </w:r>
      <w:r w:rsidR="009D6471">
        <w:rPr>
          <w:rFonts w:ascii="Arial" w:hAnsi="Arial" w:cs="Arial"/>
          <w:szCs w:val="22"/>
        </w:rPr>
        <w:t xml:space="preserve">Statement.  In line with a previous Treasury announcement the annual </w:t>
      </w:r>
      <w:r>
        <w:rPr>
          <w:rFonts w:ascii="Arial" w:hAnsi="Arial" w:cs="Arial"/>
          <w:szCs w:val="22"/>
        </w:rPr>
        <w:t xml:space="preserve">‘major fiscal event’ </w:t>
      </w:r>
      <w:r w:rsidR="009D6471">
        <w:rPr>
          <w:rFonts w:ascii="Arial" w:hAnsi="Arial" w:cs="Arial"/>
          <w:szCs w:val="22"/>
        </w:rPr>
        <w:t>is the Autumn Budget rather than the Spring Statement</w:t>
      </w:r>
      <w:r>
        <w:rPr>
          <w:rFonts w:ascii="Arial" w:hAnsi="Arial" w:cs="Arial"/>
          <w:szCs w:val="22"/>
        </w:rPr>
        <w:t>.</w:t>
      </w:r>
    </w:p>
    <w:p w14:paraId="31342BC9" w14:textId="77777777" w:rsidR="005B1D81" w:rsidRPr="005B1D81" w:rsidRDefault="005B1D81" w:rsidP="005B1D81">
      <w:pPr>
        <w:pStyle w:val="ListParagraph"/>
        <w:ind w:left="360"/>
        <w:rPr>
          <w:rFonts w:ascii="Arial" w:hAnsi="Arial" w:cs="Arial"/>
          <w:szCs w:val="22"/>
        </w:rPr>
      </w:pPr>
    </w:p>
    <w:p w14:paraId="38EBC17C" w14:textId="77777777" w:rsidR="00BE64F7" w:rsidRDefault="00F748CE" w:rsidP="005B1D81">
      <w:pPr>
        <w:pStyle w:val="ListParagraph"/>
        <w:numPr>
          <w:ilvl w:val="0"/>
          <w:numId w:val="1"/>
        </w:numPr>
        <w:rPr>
          <w:rFonts w:ascii="Arial" w:hAnsi="Arial" w:cs="Arial"/>
          <w:szCs w:val="22"/>
        </w:rPr>
      </w:pPr>
      <w:r>
        <w:rPr>
          <w:rFonts w:ascii="Arial" w:hAnsi="Arial" w:cs="Arial"/>
          <w:szCs w:val="22"/>
        </w:rPr>
        <w:t>At the time of writing there is no further information on the 2019 Spending Review</w:t>
      </w:r>
      <w:r w:rsidR="00BA7EE9">
        <w:rPr>
          <w:rFonts w:ascii="Arial" w:hAnsi="Arial" w:cs="Arial"/>
          <w:szCs w:val="22"/>
        </w:rPr>
        <w:t xml:space="preserve">. </w:t>
      </w:r>
      <w:r w:rsidR="005B1D81">
        <w:rPr>
          <w:rFonts w:ascii="Arial" w:hAnsi="Arial" w:cs="Arial"/>
          <w:szCs w:val="22"/>
        </w:rPr>
        <w:t xml:space="preserve">Meanwhile the LGA </w:t>
      </w:r>
      <w:r w:rsidR="00BE64F7">
        <w:rPr>
          <w:rFonts w:ascii="Arial" w:hAnsi="Arial" w:cs="Arial"/>
          <w:szCs w:val="22"/>
        </w:rPr>
        <w:t>is continuing its work in advance of the 2019 Spending Review</w:t>
      </w:r>
      <w:r>
        <w:rPr>
          <w:rFonts w:ascii="Arial" w:hAnsi="Arial" w:cs="Arial"/>
          <w:szCs w:val="22"/>
        </w:rPr>
        <w:t xml:space="preserve"> in line with the report to Resources Board in September 2018</w:t>
      </w:r>
      <w:r w:rsidR="00BE64F7">
        <w:rPr>
          <w:rFonts w:ascii="Arial" w:hAnsi="Arial" w:cs="Arial"/>
          <w:szCs w:val="22"/>
        </w:rPr>
        <w:t>.</w:t>
      </w:r>
    </w:p>
    <w:p w14:paraId="5E06AF51" w14:textId="77777777" w:rsidR="00BE64F7" w:rsidRPr="00BE64F7" w:rsidRDefault="00BE64F7" w:rsidP="00BE64F7">
      <w:pPr>
        <w:pStyle w:val="ListParagraph"/>
        <w:rPr>
          <w:rFonts w:ascii="Arial" w:hAnsi="Arial" w:cs="Arial"/>
          <w:szCs w:val="22"/>
        </w:rPr>
      </w:pPr>
    </w:p>
    <w:p w14:paraId="0557AB94" w14:textId="2FED0532" w:rsidR="00BE64F7" w:rsidRDefault="00BE64F7" w:rsidP="005B1D81">
      <w:pPr>
        <w:pStyle w:val="ListParagraph"/>
        <w:numPr>
          <w:ilvl w:val="0"/>
          <w:numId w:val="1"/>
        </w:numPr>
        <w:rPr>
          <w:rFonts w:ascii="Arial" w:hAnsi="Arial" w:cs="Arial"/>
          <w:szCs w:val="22"/>
        </w:rPr>
      </w:pPr>
      <w:r>
        <w:rPr>
          <w:rFonts w:ascii="Arial" w:hAnsi="Arial" w:cs="Arial"/>
          <w:szCs w:val="22"/>
        </w:rPr>
        <w:t>The LGA has hosted t</w:t>
      </w:r>
      <w:r w:rsidR="005B1D81">
        <w:rPr>
          <w:rFonts w:ascii="Arial" w:hAnsi="Arial" w:cs="Arial"/>
          <w:szCs w:val="22"/>
        </w:rPr>
        <w:t xml:space="preserve">wo </w:t>
      </w:r>
      <w:r>
        <w:rPr>
          <w:rFonts w:ascii="Arial" w:hAnsi="Arial" w:cs="Arial"/>
          <w:szCs w:val="22"/>
        </w:rPr>
        <w:t xml:space="preserve">joint MHCLG / LGA </w:t>
      </w:r>
      <w:r w:rsidR="005B1D81">
        <w:rPr>
          <w:rFonts w:ascii="Arial" w:hAnsi="Arial" w:cs="Arial"/>
          <w:szCs w:val="22"/>
        </w:rPr>
        <w:t>themed roundtables with senior officers from councils, the Treasury</w:t>
      </w:r>
      <w:r>
        <w:rPr>
          <w:rFonts w:ascii="Arial" w:hAnsi="Arial" w:cs="Arial"/>
          <w:szCs w:val="22"/>
        </w:rPr>
        <w:t>,</w:t>
      </w:r>
      <w:r w:rsidR="005B1D81">
        <w:rPr>
          <w:rFonts w:ascii="Arial" w:hAnsi="Arial" w:cs="Arial"/>
          <w:szCs w:val="22"/>
        </w:rPr>
        <w:t xml:space="preserve"> MHCLG a</w:t>
      </w:r>
      <w:r w:rsidR="006E266D">
        <w:rPr>
          <w:rFonts w:ascii="Arial" w:hAnsi="Arial" w:cs="Arial"/>
          <w:szCs w:val="22"/>
        </w:rPr>
        <w:t>nd other government departments;</w:t>
      </w:r>
      <w:r w:rsidR="005B1D81">
        <w:rPr>
          <w:rFonts w:ascii="Arial" w:hAnsi="Arial" w:cs="Arial"/>
          <w:szCs w:val="22"/>
        </w:rPr>
        <w:t xml:space="preserve"> one on welfare reform and the other on special educational needs and </w:t>
      </w:r>
      <w:r>
        <w:rPr>
          <w:rFonts w:ascii="Arial" w:hAnsi="Arial" w:cs="Arial"/>
          <w:szCs w:val="22"/>
        </w:rPr>
        <w:t>the Dedicated Schools Grant</w:t>
      </w:r>
      <w:r w:rsidR="005B1D81">
        <w:rPr>
          <w:rFonts w:ascii="Arial" w:hAnsi="Arial" w:cs="Arial"/>
          <w:szCs w:val="22"/>
        </w:rPr>
        <w:t>.</w:t>
      </w:r>
      <w:r w:rsidR="006E266D">
        <w:rPr>
          <w:rFonts w:ascii="Arial" w:hAnsi="Arial" w:cs="Arial"/>
          <w:szCs w:val="22"/>
        </w:rPr>
        <w:t xml:space="preserve"> </w:t>
      </w:r>
      <w:r>
        <w:rPr>
          <w:rFonts w:ascii="Arial" w:hAnsi="Arial" w:cs="Arial"/>
          <w:szCs w:val="22"/>
        </w:rPr>
        <w:t>Further roundtables are planned over the next few weeks including on adult social care, children’s social care, financial sustainability and place based services.</w:t>
      </w:r>
    </w:p>
    <w:p w14:paraId="22509250" w14:textId="77777777" w:rsidR="00BE64F7" w:rsidRPr="00BE64F7" w:rsidRDefault="00BE64F7" w:rsidP="00BE64F7">
      <w:pPr>
        <w:pStyle w:val="ListParagraph"/>
        <w:rPr>
          <w:rFonts w:ascii="Arial" w:hAnsi="Arial" w:cs="Arial"/>
          <w:szCs w:val="22"/>
        </w:rPr>
      </w:pPr>
    </w:p>
    <w:p w14:paraId="2DF7C033" w14:textId="71903DF4" w:rsidR="005B1D81" w:rsidRPr="00BE64F7" w:rsidRDefault="006E266D" w:rsidP="00BE64F7">
      <w:pPr>
        <w:pStyle w:val="ListParagraph"/>
        <w:numPr>
          <w:ilvl w:val="0"/>
          <w:numId w:val="1"/>
        </w:numPr>
        <w:rPr>
          <w:rFonts w:ascii="Arial" w:hAnsi="Arial" w:cs="Arial"/>
          <w:szCs w:val="22"/>
        </w:rPr>
      </w:pPr>
      <w:r w:rsidRPr="00BE64F7">
        <w:rPr>
          <w:rFonts w:ascii="Arial" w:hAnsi="Arial" w:cs="Arial"/>
          <w:szCs w:val="22"/>
        </w:rPr>
        <w:lastRenderedPageBreak/>
        <w:t xml:space="preserve">The LGA has also launched </w:t>
      </w:r>
      <w:r w:rsidR="00BE64F7">
        <w:rPr>
          <w:rFonts w:ascii="Arial" w:hAnsi="Arial" w:cs="Arial"/>
          <w:szCs w:val="22"/>
        </w:rPr>
        <w:t>its</w:t>
      </w:r>
      <w:r w:rsidRPr="00BE64F7">
        <w:rPr>
          <w:rFonts w:ascii="Arial" w:hAnsi="Arial" w:cs="Arial"/>
          <w:szCs w:val="22"/>
        </w:rPr>
        <w:t xml:space="preserve"> </w:t>
      </w:r>
      <w:hyperlink r:id="rId25" w:history="1">
        <w:r w:rsidRPr="00BE64F7">
          <w:rPr>
            <w:rStyle w:val="Hyperlink"/>
            <w:rFonts w:ascii="Arial" w:hAnsi="Arial" w:cs="Arial"/>
            <w:szCs w:val="22"/>
          </w:rPr>
          <w:t>Spending Review campaign</w:t>
        </w:r>
      </w:hyperlink>
      <w:r w:rsidRPr="00BE64F7">
        <w:rPr>
          <w:rFonts w:ascii="Arial" w:hAnsi="Arial" w:cs="Arial"/>
          <w:szCs w:val="22"/>
        </w:rPr>
        <w:t>, with information on the reductions in resources to councils since 2010, the funding gap and the discretionary services at risk, such as bus se</w:t>
      </w:r>
      <w:r w:rsidR="00557500">
        <w:rPr>
          <w:rFonts w:ascii="Arial" w:hAnsi="Arial" w:cs="Arial"/>
          <w:szCs w:val="22"/>
        </w:rPr>
        <w:t>rvices and council tax support.</w:t>
      </w:r>
      <w:r w:rsidR="00F24BE2">
        <w:rPr>
          <w:rFonts w:ascii="Arial" w:hAnsi="Arial" w:cs="Arial"/>
          <w:szCs w:val="22"/>
        </w:rPr>
        <w:t xml:space="preserve">  The LGA’s Leadership Board and Executive will receive a paper at their March meeting updating them on progress on some LGA work on the 2019 Spending Review.  This paper will be shared with Resources Board members on a confidential basis.  A paper on the LGA’s work on the 2019 Spending Review will be on the agenda for the next meeting of Resources Board with a particular focus on the finance related elements of this work.</w:t>
      </w:r>
    </w:p>
    <w:p w14:paraId="21DF9BDC" w14:textId="77777777" w:rsidR="005B1D81" w:rsidRDefault="005B1D81" w:rsidP="0090218D">
      <w:pPr>
        <w:rPr>
          <w:rFonts w:ascii="Arial" w:hAnsi="Arial" w:cs="Arial"/>
          <w:szCs w:val="22"/>
          <w:u w:val="single"/>
        </w:rPr>
      </w:pPr>
    </w:p>
    <w:p w14:paraId="1860A5EE" w14:textId="77777777" w:rsidR="008C6AD0" w:rsidRDefault="008C6AD0" w:rsidP="00B67CF7">
      <w:pPr>
        <w:rPr>
          <w:rFonts w:ascii="Arial" w:hAnsi="Arial" w:cs="Arial"/>
          <w:b/>
          <w:bCs/>
        </w:rPr>
      </w:pPr>
    </w:p>
    <w:p w14:paraId="05E16433" w14:textId="77777777" w:rsidR="00B67CF7" w:rsidRPr="009D6471" w:rsidRDefault="00B67CF7" w:rsidP="00B67CF7">
      <w:pPr>
        <w:rPr>
          <w:rFonts w:ascii="Arial" w:hAnsi="Arial" w:cs="Arial"/>
          <w:b/>
          <w:bCs/>
        </w:rPr>
      </w:pPr>
      <w:r w:rsidRPr="009D6471">
        <w:rPr>
          <w:rFonts w:ascii="Arial" w:hAnsi="Arial" w:cs="Arial"/>
          <w:b/>
          <w:bCs/>
        </w:rPr>
        <w:t>Treasury Select Committee inquiry into the impact of Business Rates on business</w:t>
      </w:r>
    </w:p>
    <w:p w14:paraId="32CDA70F" w14:textId="77777777" w:rsidR="00B67CF7" w:rsidRPr="0090218D" w:rsidRDefault="00B67CF7" w:rsidP="00B67CF7">
      <w:pPr>
        <w:pStyle w:val="ListParagraph"/>
        <w:rPr>
          <w:rFonts w:ascii="Arial" w:hAnsi="Arial" w:cs="Arial"/>
        </w:rPr>
      </w:pPr>
    </w:p>
    <w:p w14:paraId="38724353" w14:textId="7B83C969" w:rsidR="008C13A6" w:rsidRPr="008C13A6" w:rsidRDefault="00B67CF7" w:rsidP="00B67CF7">
      <w:pPr>
        <w:pStyle w:val="ListParagraph"/>
        <w:numPr>
          <w:ilvl w:val="0"/>
          <w:numId w:val="1"/>
        </w:numPr>
        <w:rPr>
          <w:rFonts w:ascii="Arial" w:hAnsi="Arial" w:cs="Arial"/>
          <w:szCs w:val="22"/>
        </w:rPr>
      </w:pPr>
      <w:r>
        <w:rPr>
          <w:rFonts w:ascii="Arial" w:hAnsi="Arial" w:cs="Arial"/>
        </w:rPr>
        <w:t xml:space="preserve">The Treasury Select Committee has opened an inquiry into the </w:t>
      </w:r>
      <w:hyperlink r:id="rId26" w:history="1">
        <w:r w:rsidR="006E3CF5">
          <w:rPr>
            <w:rStyle w:val="Hyperlink"/>
            <w:rFonts w:ascii="Arial" w:hAnsi="Arial" w:cs="Arial"/>
          </w:rPr>
          <w:t>I</w:t>
        </w:r>
        <w:r w:rsidRPr="005B0D93">
          <w:rPr>
            <w:rStyle w:val="Hyperlink"/>
            <w:rFonts w:ascii="Arial" w:hAnsi="Arial" w:cs="Arial"/>
          </w:rPr>
          <w:t>mpact of Business Rates on business</w:t>
        </w:r>
      </w:hyperlink>
      <w:r>
        <w:rPr>
          <w:rFonts w:ascii="Arial" w:hAnsi="Arial" w:cs="Arial"/>
        </w:rPr>
        <w:t>. The terms of reference cover</w:t>
      </w:r>
      <w:r w:rsidR="008C13A6">
        <w:rPr>
          <w:rFonts w:ascii="Arial" w:hAnsi="Arial" w:cs="Arial"/>
        </w:rPr>
        <w:t>:</w:t>
      </w:r>
    </w:p>
    <w:p w14:paraId="5EEFFBBC" w14:textId="77777777" w:rsidR="008C13A6" w:rsidRPr="008C13A6" w:rsidRDefault="008C13A6" w:rsidP="008C13A6">
      <w:pPr>
        <w:pStyle w:val="ListParagraph"/>
        <w:ind w:left="1142"/>
        <w:rPr>
          <w:rFonts w:ascii="Arial" w:hAnsi="Arial" w:cs="Arial"/>
          <w:szCs w:val="22"/>
        </w:rPr>
      </w:pPr>
    </w:p>
    <w:p w14:paraId="576DD53A" w14:textId="3E33F09B" w:rsidR="008C13A6" w:rsidRDefault="008C13A6" w:rsidP="005459B7">
      <w:pPr>
        <w:numPr>
          <w:ilvl w:val="1"/>
          <w:numId w:val="1"/>
        </w:numPr>
        <w:ind w:left="993" w:hanging="574"/>
        <w:contextualSpacing/>
        <w:rPr>
          <w:rFonts w:ascii="Arial" w:eastAsia="Calibri" w:hAnsi="Arial" w:cs="Arial"/>
          <w:szCs w:val="22"/>
        </w:rPr>
      </w:pPr>
      <w:r>
        <w:rPr>
          <w:rFonts w:ascii="Arial" w:eastAsia="Calibri" w:hAnsi="Arial" w:cs="Arial"/>
          <w:szCs w:val="22"/>
        </w:rPr>
        <w:t>T</w:t>
      </w:r>
      <w:r w:rsidR="00B67CF7" w:rsidRPr="008C13A6">
        <w:rPr>
          <w:rFonts w:ascii="Arial" w:eastAsia="Calibri" w:hAnsi="Arial" w:cs="Arial"/>
          <w:szCs w:val="22"/>
        </w:rPr>
        <w:t xml:space="preserve">he impact of changes in business rates </w:t>
      </w:r>
      <w:r w:rsidRPr="008C13A6">
        <w:rPr>
          <w:rFonts w:ascii="Arial" w:eastAsia="Calibri" w:hAnsi="Arial" w:cs="Arial"/>
          <w:szCs w:val="22"/>
        </w:rPr>
        <w:t>policy since 2017</w:t>
      </w:r>
      <w:r>
        <w:rPr>
          <w:rFonts w:ascii="Arial" w:eastAsia="Calibri" w:hAnsi="Arial" w:cs="Arial"/>
          <w:szCs w:val="22"/>
        </w:rPr>
        <w:t xml:space="preserve"> on businesses</w:t>
      </w:r>
      <w:r w:rsidR="00B67CF7" w:rsidRPr="008C13A6">
        <w:rPr>
          <w:rFonts w:ascii="Arial" w:eastAsia="Calibri" w:hAnsi="Arial" w:cs="Arial"/>
          <w:szCs w:val="22"/>
        </w:rPr>
        <w:t xml:space="preserve">, </w:t>
      </w:r>
      <w:r>
        <w:rPr>
          <w:rFonts w:ascii="Arial" w:eastAsia="Calibri" w:hAnsi="Arial" w:cs="Arial"/>
          <w:szCs w:val="22"/>
        </w:rPr>
        <w:t>such as reliefs and allowances and the ability to pay;</w:t>
      </w:r>
    </w:p>
    <w:p w14:paraId="5DDA3780" w14:textId="77777777" w:rsidR="008C13A6" w:rsidRDefault="008C13A6" w:rsidP="005459B7">
      <w:pPr>
        <w:ind w:left="993" w:hanging="574"/>
        <w:contextualSpacing/>
        <w:rPr>
          <w:rFonts w:ascii="Arial" w:eastAsia="Calibri" w:hAnsi="Arial" w:cs="Arial"/>
          <w:szCs w:val="22"/>
        </w:rPr>
      </w:pPr>
    </w:p>
    <w:p w14:paraId="0FB01375" w14:textId="31D4485B" w:rsidR="008C13A6" w:rsidRDefault="008C13A6" w:rsidP="005459B7">
      <w:pPr>
        <w:numPr>
          <w:ilvl w:val="1"/>
          <w:numId w:val="1"/>
        </w:numPr>
        <w:ind w:left="993" w:hanging="574"/>
        <w:contextualSpacing/>
        <w:rPr>
          <w:rFonts w:ascii="Arial" w:eastAsia="Calibri" w:hAnsi="Arial" w:cs="Arial"/>
          <w:szCs w:val="22"/>
        </w:rPr>
      </w:pPr>
      <w:r>
        <w:rPr>
          <w:rFonts w:ascii="Arial" w:eastAsia="Calibri" w:hAnsi="Arial" w:cs="Arial"/>
          <w:szCs w:val="22"/>
        </w:rPr>
        <w:t>H</w:t>
      </w:r>
      <w:r w:rsidR="00B67CF7" w:rsidRPr="008C13A6">
        <w:rPr>
          <w:rFonts w:ascii="Arial" w:eastAsia="Calibri" w:hAnsi="Arial" w:cs="Arial"/>
          <w:szCs w:val="22"/>
        </w:rPr>
        <w:t xml:space="preserve">ow the current business rates system measures up to principles for good taxation such as fairness, </w:t>
      </w:r>
      <w:r>
        <w:rPr>
          <w:rFonts w:ascii="Arial" w:eastAsia="Calibri" w:hAnsi="Arial" w:cs="Arial"/>
          <w:szCs w:val="22"/>
        </w:rPr>
        <w:t>supporting growth,</w:t>
      </w:r>
      <w:r w:rsidR="00B67CF7" w:rsidRPr="008C13A6">
        <w:rPr>
          <w:rFonts w:ascii="Arial" w:eastAsia="Calibri" w:hAnsi="Arial" w:cs="Arial"/>
          <w:szCs w:val="22"/>
        </w:rPr>
        <w:t xml:space="preserve"> and pr</w:t>
      </w:r>
      <w:r>
        <w:rPr>
          <w:rFonts w:ascii="Arial" w:eastAsia="Calibri" w:hAnsi="Arial" w:cs="Arial"/>
          <w:szCs w:val="22"/>
        </w:rPr>
        <w:t>oviding certainty and coherence;</w:t>
      </w:r>
    </w:p>
    <w:p w14:paraId="6C4A3EF8" w14:textId="77777777" w:rsidR="008C13A6" w:rsidRDefault="008C13A6" w:rsidP="005459B7">
      <w:pPr>
        <w:pStyle w:val="ListParagraph"/>
        <w:ind w:left="993" w:hanging="574"/>
        <w:rPr>
          <w:rFonts w:ascii="Arial" w:eastAsia="Calibri" w:hAnsi="Arial" w:cs="Arial"/>
          <w:szCs w:val="22"/>
        </w:rPr>
      </w:pPr>
    </w:p>
    <w:p w14:paraId="57E3AD0E" w14:textId="2B519B82" w:rsidR="008C13A6" w:rsidRDefault="008C13A6" w:rsidP="005459B7">
      <w:pPr>
        <w:numPr>
          <w:ilvl w:val="1"/>
          <w:numId w:val="1"/>
        </w:numPr>
        <w:ind w:left="993" w:hanging="574"/>
        <w:contextualSpacing/>
        <w:rPr>
          <w:rFonts w:ascii="Arial" w:eastAsia="Calibri" w:hAnsi="Arial" w:cs="Arial"/>
          <w:szCs w:val="22"/>
        </w:rPr>
      </w:pPr>
      <w:r>
        <w:rPr>
          <w:rFonts w:ascii="Arial" w:eastAsia="Calibri" w:hAnsi="Arial" w:cs="Arial"/>
          <w:szCs w:val="22"/>
        </w:rPr>
        <w:t>T</w:t>
      </w:r>
      <w:r w:rsidR="00B67CF7" w:rsidRPr="008C13A6">
        <w:rPr>
          <w:rFonts w:ascii="Arial" w:eastAsia="Calibri" w:hAnsi="Arial" w:cs="Arial"/>
          <w:szCs w:val="22"/>
        </w:rPr>
        <w:t>he economic justification for a property-based tax, including the impact of business rates on rental prices and property prices</w:t>
      </w:r>
      <w:r>
        <w:rPr>
          <w:rFonts w:ascii="Arial" w:eastAsia="Calibri" w:hAnsi="Arial" w:cs="Arial"/>
          <w:szCs w:val="22"/>
        </w:rPr>
        <w:t>, alternatives to property based taxes</w:t>
      </w:r>
      <w:r w:rsidR="004536E8">
        <w:rPr>
          <w:rFonts w:ascii="Arial" w:eastAsia="Calibri" w:hAnsi="Arial" w:cs="Arial"/>
          <w:szCs w:val="22"/>
        </w:rPr>
        <w:t>, and the impact on local authorities and the high street</w:t>
      </w:r>
      <w:r w:rsidR="00BA7EE9" w:rsidRPr="008C13A6">
        <w:rPr>
          <w:rFonts w:ascii="Arial" w:eastAsia="Calibri" w:hAnsi="Arial" w:cs="Arial"/>
          <w:szCs w:val="22"/>
        </w:rPr>
        <w:t>.</w:t>
      </w:r>
    </w:p>
    <w:p w14:paraId="52BE3800" w14:textId="77777777" w:rsidR="008C13A6" w:rsidRDefault="008C13A6" w:rsidP="008C13A6">
      <w:pPr>
        <w:pStyle w:val="ListParagraph"/>
        <w:rPr>
          <w:rFonts w:ascii="Arial" w:eastAsia="Calibri" w:hAnsi="Arial" w:cs="Arial"/>
          <w:szCs w:val="22"/>
        </w:rPr>
      </w:pPr>
    </w:p>
    <w:p w14:paraId="1E7E4915" w14:textId="4CE80647" w:rsidR="00B67CF7" w:rsidRDefault="00B67CF7" w:rsidP="004536E8">
      <w:pPr>
        <w:numPr>
          <w:ilvl w:val="0"/>
          <w:numId w:val="1"/>
        </w:numPr>
        <w:contextualSpacing/>
        <w:rPr>
          <w:rFonts w:ascii="Arial" w:hAnsi="Arial" w:cs="Arial"/>
        </w:rPr>
      </w:pPr>
      <w:r w:rsidRPr="004536E8">
        <w:rPr>
          <w:rFonts w:ascii="Arial" w:hAnsi="Arial" w:cs="Arial"/>
        </w:rPr>
        <w:t>The deadline for written submissions is 2 April 2019</w:t>
      </w:r>
      <w:r w:rsidR="00BA7EE9" w:rsidRPr="004536E8">
        <w:rPr>
          <w:rFonts w:ascii="Arial" w:hAnsi="Arial" w:cs="Arial"/>
        </w:rPr>
        <w:t xml:space="preserve">. </w:t>
      </w:r>
      <w:r w:rsidRPr="004536E8">
        <w:rPr>
          <w:rFonts w:ascii="Arial" w:hAnsi="Arial" w:cs="Arial"/>
        </w:rPr>
        <w:t>The LGA will be drafting written evidence for submission</w:t>
      </w:r>
      <w:r w:rsidR="006E3CF5">
        <w:rPr>
          <w:rFonts w:ascii="Arial" w:hAnsi="Arial" w:cs="Arial"/>
        </w:rPr>
        <w:t xml:space="preserve"> which will be developed through the LGA Task and Finish Group on Business Rates Retention and the Fair Funding Review and cleared through the Chairman, Group Leaders and Lead Members of Resources Board</w:t>
      </w:r>
      <w:r w:rsidRPr="004536E8">
        <w:rPr>
          <w:rFonts w:ascii="Arial" w:hAnsi="Arial" w:cs="Arial"/>
        </w:rPr>
        <w:t xml:space="preserve">. </w:t>
      </w:r>
      <w:r w:rsidR="004536E8">
        <w:rPr>
          <w:rFonts w:ascii="Arial" w:hAnsi="Arial" w:cs="Arial"/>
        </w:rPr>
        <w:t>We would welcome the views of the Resources Board on the Inquiry.</w:t>
      </w:r>
    </w:p>
    <w:p w14:paraId="6B8C8740" w14:textId="77777777" w:rsidR="008C13A6" w:rsidRDefault="008C13A6" w:rsidP="004536E8">
      <w:pPr>
        <w:ind w:left="360"/>
        <w:contextualSpacing/>
        <w:rPr>
          <w:rFonts w:ascii="Arial" w:hAnsi="Arial" w:cs="Arial"/>
          <w:szCs w:val="22"/>
        </w:rPr>
      </w:pPr>
    </w:p>
    <w:p w14:paraId="5A9DCB06" w14:textId="77777777" w:rsidR="008C13A6" w:rsidRPr="00651B6C" w:rsidRDefault="008C13A6" w:rsidP="00B67CF7">
      <w:pPr>
        <w:pStyle w:val="ListParagraph"/>
        <w:ind w:left="360"/>
        <w:rPr>
          <w:rFonts w:ascii="Arial" w:hAnsi="Arial" w:cs="Arial"/>
          <w:szCs w:val="22"/>
        </w:rPr>
      </w:pPr>
    </w:p>
    <w:p w14:paraId="4EE10628" w14:textId="40B3E24F" w:rsidR="0090218D" w:rsidRPr="009D6471" w:rsidRDefault="0090218D" w:rsidP="00B67CF7">
      <w:pPr>
        <w:rPr>
          <w:rFonts w:ascii="Arial" w:hAnsi="Arial" w:cs="Arial"/>
          <w:b/>
          <w:bCs/>
        </w:rPr>
      </w:pPr>
      <w:r w:rsidRPr="009D6471">
        <w:rPr>
          <w:rFonts w:ascii="Arial" w:hAnsi="Arial" w:cs="Arial"/>
          <w:b/>
          <w:bCs/>
        </w:rPr>
        <w:t>Business rates treatment of self-catering accommodation</w:t>
      </w:r>
    </w:p>
    <w:p w14:paraId="5CC495A5" w14:textId="77777777" w:rsidR="0090218D" w:rsidRDefault="0090218D" w:rsidP="0090218D">
      <w:pPr>
        <w:pStyle w:val="ListParagraph"/>
        <w:ind w:left="360"/>
        <w:rPr>
          <w:rFonts w:ascii="Arial" w:hAnsi="Arial" w:cs="Arial"/>
          <w:szCs w:val="22"/>
        </w:rPr>
      </w:pPr>
    </w:p>
    <w:p w14:paraId="51CB9BC6" w14:textId="204BF352" w:rsidR="002F6CDB" w:rsidRDefault="002415E1" w:rsidP="009C5037">
      <w:pPr>
        <w:pStyle w:val="ListParagraph"/>
        <w:numPr>
          <w:ilvl w:val="0"/>
          <w:numId w:val="1"/>
        </w:numPr>
        <w:rPr>
          <w:rFonts w:ascii="Arial" w:hAnsi="Arial" w:cs="Arial"/>
          <w:szCs w:val="22"/>
        </w:rPr>
      </w:pPr>
      <w:r w:rsidRPr="002F6CDB">
        <w:rPr>
          <w:rFonts w:ascii="Arial" w:hAnsi="Arial" w:cs="Arial"/>
          <w:szCs w:val="22"/>
        </w:rPr>
        <w:t>Following consideration by Resources Board at its last meeting</w:t>
      </w:r>
      <w:r w:rsidR="00B603FE">
        <w:rPr>
          <w:rFonts w:ascii="Arial" w:hAnsi="Arial" w:cs="Arial"/>
          <w:szCs w:val="22"/>
        </w:rPr>
        <w:t>,</w:t>
      </w:r>
      <w:r w:rsidRPr="002F6CDB">
        <w:rPr>
          <w:rFonts w:ascii="Arial" w:hAnsi="Arial" w:cs="Arial"/>
          <w:szCs w:val="22"/>
        </w:rPr>
        <w:t xml:space="preserve"> </w:t>
      </w:r>
      <w:r w:rsidR="00B603FE">
        <w:rPr>
          <w:rFonts w:ascii="Arial" w:hAnsi="Arial" w:cs="Arial"/>
          <w:szCs w:val="22"/>
        </w:rPr>
        <w:t>on the</w:t>
      </w:r>
      <w:r w:rsidRPr="002F6CDB">
        <w:rPr>
          <w:rFonts w:ascii="Arial" w:hAnsi="Arial" w:cs="Arial"/>
          <w:szCs w:val="22"/>
        </w:rPr>
        <w:t xml:space="preserve"> </w:t>
      </w:r>
      <w:hyperlink r:id="rId27" w:history="1">
        <w:r w:rsidR="002F6CDB" w:rsidRPr="00B603FE">
          <w:rPr>
            <w:rStyle w:val="Hyperlink"/>
            <w:rFonts w:ascii="Arial" w:hAnsi="Arial" w:cs="Arial"/>
            <w:szCs w:val="22"/>
          </w:rPr>
          <w:t xml:space="preserve">consultation </w:t>
        </w:r>
        <w:r w:rsidRPr="00B603FE">
          <w:rPr>
            <w:rStyle w:val="Hyperlink"/>
            <w:rFonts w:ascii="Arial" w:hAnsi="Arial" w:cs="Arial"/>
            <w:szCs w:val="22"/>
          </w:rPr>
          <w:t>on the business rates treatment of self-catering accommodation</w:t>
        </w:r>
      </w:hyperlink>
      <w:r w:rsidRPr="002F6CDB">
        <w:rPr>
          <w:rFonts w:ascii="Arial" w:hAnsi="Arial" w:cs="Arial"/>
          <w:szCs w:val="22"/>
        </w:rPr>
        <w:t xml:space="preserve">, an </w:t>
      </w:r>
      <w:hyperlink r:id="rId28" w:history="1">
        <w:r w:rsidRPr="002F6CDB">
          <w:rPr>
            <w:rFonts w:ascii="Arial" w:hAnsi="Arial" w:cs="Arial"/>
            <w:color w:val="0070C0"/>
            <w:szCs w:val="22"/>
            <w:u w:val="single"/>
          </w:rPr>
          <w:t>LGA response</w:t>
        </w:r>
      </w:hyperlink>
      <w:r w:rsidRPr="002F6CDB">
        <w:rPr>
          <w:rFonts w:ascii="Arial" w:hAnsi="Arial" w:cs="Arial"/>
          <w:szCs w:val="22"/>
        </w:rPr>
        <w:t xml:space="preserve"> was </w:t>
      </w:r>
      <w:r w:rsidR="002F6CDB" w:rsidRPr="002F6CDB">
        <w:rPr>
          <w:rFonts w:ascii="Arial" w:hAnsi="Arial" w:cs="Arial"/>
          <w:szCs w:val="22"/>
        </w:rPr>
        <w:t>drafted</w:t>
      </w:r>
      <w:r w:rsidR="00B603FE">
        <w:rPr>
          <w:rFonts w:ascii="Arial" w:hAnsi="Arial" w:cs="Arial"/>
          <w:szCs w:val="22"/>
        </w:rPr>
        <w:t xml:space="preserve"> in line with Resources Board recommendations</w:t>
      </w:r>
      <w:r w:rsidR="002F6CDB" w:rsidRPr="002F6CDB">
        <w:rPr>
          <w:rFonts w:ascii="Arial" w:hAnsi="Arial" w:cs="Arial"/>
          <w:szCs w:val="22"/>
        </w:rPr>
        <w:t xml:space="preserve"> and submitted, having been agreed by the Chairman, Group Leaders and Lead Members of </w:t>
      </w:r>
      <w:r w:rsidR="00B603FE">
        <w:rPr>
          <w:rFonts w:ascii="Arial" w:hAnsi="Arial" w:cs="Arial"/>
          <w:szCs w:val="22"/>
        </w:rPr>
        <w:t>Resources</w:t>
      </w:r>
      <w:r w:rsidR="002F6CDB" w:rsidRPr="002F6CDB">
        <w:rPr>
          <w:rFonts w:ascii="Arial" w:hAnsi="Arial" w:cs="Arial"/>
          <w:szCs w:val="22"/>
        </w:rPr>
        <w:t xml:space="preserve"> Board</w:t>
      </w:r>
      <w:r w:rsidR="00BA7EE9">
        <w:rPr>
          <w:rFonts w:ascii="Arial" w:hAnsi="Arial" w:cs="Arial"/>
          <w:szCs w:val="22"/>
        </w:rPr>
        <w:t xml:space="preserve">. </w:t>
      </w:r>
      <w:r w:rsidR="002F6CDB" w:rsidRPr="002F6CDB">
        <w:rPr>
          <w:rFonts w:ascii="Arial" w:hAnsi="Arial" w:cs="Arial"/>
          <w:szCs w:val="22"/>
        </w:rPr>
        <w:t>The LGA response welcomes the Government proposals and calls on the Government to take action more broadly on business rates avoidance. It also calls on the Government to assess how a similar scheme is working in Wales and ensure that any lessons are incorporated into the scheme for England.</w:t>
      </w:r>
    </w:p>
    <w:p w14:paraId="02469164" w14:textId="77777777" w:rsidR="005B0D93" w:rsidRDefault="005B0D93" w:rsidP="005B0D93">
      <w:pPr>
        <w:pStyle w:val="ListParagraph"/>
        <w:ind w:left="360"/>
        <w:rPr>
          <w:rFonts w:ascii="Arial" w:hAnsi="Arial" w:cs="Arial"/>
          <w:szCs w:val="22"/>
        </w:rPr>
      </w:pPr>
    </w:p>
    <w:p w14:paraId="1CC25713" w14:textId="77777777" w:rsidR="00B603FE" w:rsidRDefault="00B603FE" w:rsidP="005B0D93">
      <w:pPr>
        <w:pStyle w:val="ListParagraph"/>
        <w:ind w:left="360"/>
        <w:rPr>
          <w:rFonts w:ascii="Arial" w:hAnsi="Arial" w:cs="Arial"/>
          <w:szCs w:val="22"/>
        </w:rPr>
      </w:pPr>
    </w:p>
    <w:p w14:paraId="51383E49" w14:textId="7A9635F4" w:rsidR="0090218D" w:rsidRPr="009D6471" w:rsidRDefault="0090218D" w:rsidP="0090218D">
      <w:pPr>
        <w:rPr>
          <w:rFonts w:ascii="Arial" w:hAnsi="Arial" w:cs="Arial"/>
          <w:b/>
          <w:bCs/>
        </w:rPr>
      </w:pPr>
      <w:r w:rsidRPr="009D6471">
        <w:rPr>
          <w:rFonts w:ascii="Arial" w:hAnsi="Arial" w:cs="Arial"/>
          <w:b/>
          <w:bCs/>
        </w:rPr>
        <w:t>Public Accounts Committee report on Local Government Spending</w:t>
      </w:r>
    </w:p>
    <w:p w14:paraId="75BA4AA9" w14:textId="77777777" w:rsidR="0090218D" w:rsidRPr="0090218D" w:rsidRDefault="0090218D" w:rsidP="0090218D">
      <w:pPr>
        <w:pStyle w:val="ListParagraph"/>
        <w:rPr>
          <w:rFonts w:ascii="Arial" w:hAnsi="Arial" w:cs="Arial"/>
          <w:szCs w:val="22"/>
        </w:rPr>
      </w:pPr>
    </w:p>
    <w:p w14:paraId="27285DB3" w14:textId="394B168A" w:rsidR="005B0D93" w:rsidRPr="005B0D93" w:rsidRDefault="005B0D93" w:rsidP="009C5037">
      <w:pPr>
        <w:pStyle w:val="ListParagraph"/>
        <w:numPr>
          <w:ilvl w:val="0"/>
          <w:numId w:val="1"/>
        </w:numPr>
        <w:rPr>
          <w:rFonts w:ascii="Arial" w:hAnsi="Arial" w:cs="Arial"/>
          <w:szCs w:val="22"/>
        </w:rPr>
      </w:pPr>
      <w:r>
        <w:rPr>
          <w:rFonts w:ascii="Arial" w:hAnsi="Arial" w:cs="Arial"/>
          <w:szCs w:val="22"/>
        </w:rPr>
        <w:t xml:space="preserve">The Public Accounts Committee published a report into </w:t>
      </w:r>
      <w:hyperlink r:id="rId29" w:history="1">
        <w:r w:rsidRPr="005B0D93">
          <w:rPr>
            <w:rStyle w:val="Hyperlink"/>
            <w:rFonts w:ascii="Arial" w:hAnsi="Arial" w:cs="Arial"/>
            <w:szCs w:val="22"/>
          </w:rPr>
          <w:t>local government spending</w:t>
        </w:r>
      </w:hyperlink>
      <w:r>
        <w:rPr>
          <w:rFonts w:ascii="Arial" w:hAnsi="Arial" w:cs="Arial"/>
          <w:szCs w:val="22"/>
        </w:rPr>
        <w:t xml:space="preserve"> on</w:t>
      </w:r>
      <w:r w:rsidR="0090218D">
        <w:rPr>
          <w:rFonts w:ascii="Arial" w:hAnsi="Arial" w:cs="Arial"/>
          <w:szCs w:val="22"/>
        </w:rPr>
        <w:t xml:space="preserve"> 6</w:t>
      </w:r>
      <w:r w:rsidR="0090218D" w:rsidRPr="0090218D">
        <w:rPr>
          <w:rFonts w:ascii="Arial" w:hAnsi="Arial" w:cs="Arial"/>
          <w:szCs w:val="22"/>
          <w:vertAlign w:val="superscript"/>
        </w:rPr>
        <w:t>th</w:t>
      </w:r>
      <w:r w:rsidR="0090218D">
        <w:rPr>
          <w:rFonts w:ascii="Arial" w:hAnsi="Arial" w:cs="Arial"/>
          <w:szCs w:val="22"/>
        </w:rPr>
        <w:t xml:space="preserve"> February</w:t>
      </w:r>
      <w:r>
        <w:rPr>
          <w:rFonts w:ascii="Arial" w:hAnsi="Arial" w:cs="Arial"/>
          <w:szCs w:val="22"/>
        </w:rPr>
        <w:t xml:space="preserve">. </w:t>
      </w:r>
      <w:r w:rsidRPr="005B0D93">
        <w:rPr>
          <w:rFonts w:ascii="Arial" w:hAnsi="Arial" w:cs="Arial"/>
        </w:rPr>
        <w:t xml:space="preserve">Among key recommendations, the Government was urged to set out the steps it will take to move local government to a stronger financial position and to explain how </w:t>
      </w:r>
      <w:r w:rsidRPr="005B0D93">
        <w:rPr>
          <w:rFonts w:ascii="Arial" w:hAnsi="Arial" w:cs="Arial"/>
        </w:rPr>
        <w:lastRenderedPageBreak/>
        <w:t>its estimates for councils’ funding needs compares to our own, and explain any differences. This was in reference to our evidence to the Committee which outlined a funding gap of over £3 billion facing councils in 2019/20. The PAC is also seeking information on how MHCLG assures itself the sector is sustainable</w:t>
      </w:r>
      <w:r w:rsidR="00BA7EE9">
        <w:rPr>
          <w:rFonts w:ascii="Arial" w:hAnsi="Arial" w:cs="Arial"/>
        </w:rPr>
        <w:t xml:space="preserve">. </w:t>
      </w:r>
      <w:r>
        <w:rPr>
          <w:rFonts w:ascii="Arial" w:hAnsi="Arial" w:cs="Arial"/>
        </w:rPr>
        <w:t>Responding to the report, the Chair of your committee made reference to the funding gap of £8 billion and the importance of the Spending Review in securing financial sustainability and fully funding councils.</w:t>
      </w:r>
    </w:p>
    <w:p w14:paraId="270E2EF7" w14:textId="77777777" w:rsidR="003B05A7" w:rsidRDefault="003B05A7" w:rsidP="0090218D">
      <w:pPr>
        <w:rPr>
          <w:rFonts w:ascii="Arial" w:hAnsi="Arial" w:cs="Arial"/>
          <w:u w:val="single"/>
        </w:rPr>
      </w:pPr>
    </w:p>
    <w:p w14:paraId="4ECA5DEC" w14:textId="77777777" w:rsidR="008C6AD0" w:rsidRDefault="008C6AD0" w:rsidP="0090218D">
      <w:pPr>
        <w:rPr>
          <w:rFonts w:ascii="Arial" w:hAnsi="Arial" w:cs="Arial"/>
          <w:b/>
          <w:bCs/>
        </w:rPr>
      </w:pPr>
    </w:p>
    <w:p w14:paraId="33CAAE2C" w14:textId="3D543830" w:rsidR="0090218D" w:rsidRPr="009D6471" w:rsidRDefault="0090218D" w:rsidP="0090218D">
      <w:pPr>
        <w:rPr>
          <w:rFonts w:ascii="Arial" w:hAnsi="Arial" w:cs="Arial"/>
          <w:b/>
          <w:bCs/>
        </w:rPr>
      </w:pPr>
      <w:r w:rsidRPr="009D6471">
        <w:rPr>
          <w:rFonts w:ascii="Arial" w:hAnsi="Arial" w:cs="Arial"/>
          <w:b/>
          <w:bCs/>
        </w:rPr>
        <w:t>Valuation Office Agency gateway</w:t>
      </w:r>
    </w:p>
    <w:p w14:paraId="018890AD" w14:textId="77777777" w:rsidR="0090218D" w:rsidRPr="0090218D" w:rsidRDefault="0090218D" w:rsidP="0090218D">
      <w:pPr>
        <w:pStyle w:val="ListParagraph"/>
        <w:rPr>
          <w:rFonts w:ascii="Arial" w:hAnsi="Arial" w:cs="Arial"/>
        </w:rPr>
      </w:pPr>
    </w:p>
    <w:p w14:paraId="634C1762" w14:textId="3AACE265" w:rsidR="00651B6C" w:rsidRDefault="00651B6C" w:rsidP="009C5037">
      <w:pPr>
        <w:pStyle w:val="ListParagraph"/>
        <w:numPr>
          <w:ilvl w:val="0"/>
          <w:numId w:val="1"/>
        </w:numPr>
        <w:rPr>
          <w:rFonts w:ascii="Arial" w:hAnsi="Arial" w:cs="Arial"/>
        </w:rPr>
      </w:pPr>
      <w:r w:rsidRPr="00651B6C">
        <w:rPr>
          <w:rFonts w:ascii="Arial" w:hAnsi="Arial" w:cs="Arial"/>
        </w:rPr>
        <w:t xml:space="preserve">The Valuation Office Agency (VOA) has revised its </w:t>
      </w:r>
      <w:hyperlink r:id="rId30" w:history="1">
        <w:r w:rsidRPr="00651B6C">
          <w:rPr>
            <w:rStyle w:val="Hyperlink"/>
            <w:rFonts w:ascii="Arial" w:hAnsi="Arial" w:cs="Arial"/>
          </w:rPr>
          <w:t>Information Sharing Agreement (ISA) and Information Sharing Protocol (ISP)</w:t>
        </w:r>
      </w:hyperlink>
      <w:r w:rsidRPr="00651B6C">
        <w:rPr>
          <w:rFonts w:ascii="Arial" w:hAnsi="Arial" w:cs="Arial"/>
        </w:rPr>
        <w:t xml:space="preserve"> which allow it to share information on business rates</w:t>
      </w:r>
      <w:r>
        <w:rPr>
          <w:rFonts w:ascii="Arial" w:hAnsi="Arial" w:cs="Arial"/>
        </w:rPr>
        <w:t xml:space="preserve"> with councils</w:t>
      </w:r>
      <w:r w:rsidR="00856E22">
        <w:rPr>
          <w:rFonts w:ascii="Arial" w:hAnsi="Arial" w:cs="Arial"/>
        </w:rPr>
        <w:t xml:space="preserve"> through the Local Authority G</w:t>
      </w:r>
      <w:r w:rsidR="0090218D">
        <w:rPr>
          <w:rFonts w:ascii="Arial" w:hAnsi="Arial" w:cs="Arial"/>
        </w:rPr>
        <w:t>ateway</w:t>
      </w:r>
      <w:r w:rsidR="00BA7EE9">
        <w:rPr>
          <w:rFonts w:ascii="Arial" w:hAnsi="Arial" w:cs="Arial"/>
        </w:rPr>
        <w:t xml:space="preserve">. </w:t>
      </w:r>
      <w:r w:rsidRPr="00651B6C">
        <w:rPr>
          <w:rFonts w:ascii="Arial" w:hAnsi="Arial" w:cs="Arial"/>
        </w:rPr>
        <w:t xml:space="preserve">The VOA revisions address </w:t>
      </w:r>
      <w:r>
        <w:rPr>
          <w:rFonts w:ascii="Arial" w:hAnsi="Arial" w:cs="Arial"/>
        </w:rPr>
        <w:t>a number of</w:t>
      </w:r>
      <w:r w:rsidRPr="00651B6C">
        <w:rPr>
          <w:rFonts w:ascii="Arial" w:hAnsi="Arial" w:cs="Arial"/>
        </w:rPr>
        <w:t xml:space="preserve"> concerns</w:t>
      </w:r>
      <w:r w:rsidR="00856E22">
        <w:rPr>
          <w:rFonts w:ascii="Arial" w:hAnsi="Arial" w:cs="Arial"/>
        </w:rPr>
        <w:t>,</w:t>
      </w:r>
      <w:r w:rsidRPr="00651B6C">
        <w:rPr>
          <w:rFonts w:ascii="Arial" w:hAnsi="Arial" w:cs="Arial"/>
        </w:rPr>
        <w:t xml:space="preserve"> </w:t>
      </w:r>
      <w:r w:rsidR="00856E22">
        <w:rPr>
          <w:rFonts w:ascii="Arial" w:hAnsi="Arial" w:cs="Arial"/>
        </w:rPr>
        <w:t xml:space="preserve">with the previous agreement and protocols which were launched in 2017, </w:t>
      </w:r>
      <w:r w:rsidRPr="00651B6C">
        <w:rPr>
          <w:rFonts w:ascii="Arial" w:hAnsi="Arial" w:cs="Arial"/>
        </w:rPr>
        <w:t>such as onward sharing of data</w:t>
      </w:r>
      <w:r w:rsidR="00856E22">
        <w:rPr>
          <w:rFonts w:ascii="Arial" w:hAnsi="Arial" w:cs="Arial"/>
        </w:rPr>
        <w:t xml:space="preserve">. </w:t>
      </w:r>
      <w:r>
        <w:rPr>
          <w:rFonts w:ascii="Arial" w:hAnsi="Arial" w:cs="Arial"/>
        </w:rPr>
        <w:t xml:space="preserve">We have </w:t>
      </w:r>
      <w:r w:rsidRPr="00651B6C">
        <w:rPr>
          <w:rFonts w:ascii="Arial" w:hAnsi="Arial" w:cs="Arial"/>
        </w:rPr>
        <w:t>encourage</w:t>
      </w:r>
      <w:r>
        <w:rPr>
          <w:rFonts w:ascii="Arial" w:hAnsi="Arial" w:cs="Arial"/>
        </w:rPr>
        <w:t>d</w:t>
      </w:r>
      <w:r w:rsidRPr="00651B6C">
        <w:rPr>
          <w:rFonts w:ascii="Arial" w:hAnsi="Arial" w:cs="Arial"/>
        </w:rPr>
        <w:t xml:space="preserve"> all LGA member councils to sign up to the revised agreement as i</w:t>
      </w:r>
      <w:r w:rsidR="00856E22">
        <w:rPr>
          <w:rFonts w:ascii="Arial" w:hAnsi="Arial" w:cs="Arial"/>
        </w:rPr>
        <w:t>t will contribute to improving local a</w:t>
      </w:r>
      <w:r w:rsidRPr="00651B6C">
        <w:rPr>
          <w:rFonts w:ascii="Arial" w:hAnsi="Arial" w:cs="Arial"/>
        </w:rPr>
        <w:t>uthority access to data for non-domestic properties, supporting forecasting and revenue management.</w:t>
      </w:r>
    </w:p>
    <w:p w14:paraId="709751BA" w14:textId="77777777" w:rsidR="00591953" w:rsidRDefault="00591953" w:rsidP="00591953">
      <w:pPr>
        <w:pStyle w:val="ListParagraph"/>
        <w:rPr>
          <w:rFonts w:ascii="Arial" w:hAnsi="Arial" w:cs="Arial"/>
        </w:rPr>
      </w:pPr>
    </w:p>
    <w:p w14:paraId="0676AE63" w14:textId="77777777" w:rsidR="00856E22" w:rsidRPr="00591953" w:rsidRDefault="00856E22" w:rsidP="00591953">
      <w:pPr>
        <w:pStyle w:val="ListParagraph"/>
        <w:rPr>
          <w:rFonts w:ascii="Arial" w:hAnsi="Arial" w:cs="Arial"/>
        </w:rPr>
      </w:pPr>
    </w:p>
    <w:p w14:paraId="110B89EE" w14:textId="63C52AC8" w:rsidR="0090218D" w:rsidRPr="009D6471" w:rsidRDefault="0090218D" w:rsidP="0090218D">
      <w:pPr>
        <w:rPr>
          <w:rFonts w:ascii="Arial" w:hAnsi="Arial" w:cs="Arial"/>
          <w:b/>
          <w:bCs/>
        </w:rPr>
      </w:pPr>
      <w:r w:rsidRPr="009D6471">
        <w:rPr>
          <w:rFonts w:ascii="Arial" w:hAnsi="Arial" w:cs="Arial"/>
          <w:b/>
          <w:bCs/>
        </w:rPr>
        <w:t>Audit Fees consultation</w:t>
      </w:r>
    </w:p>
    <w:p w14:paraId="02B719A6" w14:textId="77777777" w:rsidR="0090218D" w:rsidRPr="0090218D" w:rsidRDefault="0090218D" w:rsidP="0090218D">
      <w:pPr>
        <w:pStyle w:val="ListParagraph"/>
        <w:rPr>
          <w:rFonts w:ascii="Arial" w:hAnsi="Arial" w:cs="Arial"/>
        </w:rPr>
      </w:pPr>
    </w:p>
    <w:p w14:paraId="4FBBE2D8" w14:textId="4347B785" w:rsidR="005F13E6" w:rsidRPr="003736E8" w:rsidRDefault="00591953" w:rsidP="009C5037">
      <w:pPr>
        <w:pStyle w:val="ListParagraph"/>
        <w:numPr>
          <w:ilvl w:val="0"/>
          <w:numId w:val="1"/>
        </w:numPr>
        <w:ind w:left="357" w:hanging="357"/>
        <w:rPr>
          <w:rFonts w:ascii="Arial" w:hAnsi="Arial" w:cs="Arial"/>
        </w:rPr>
      </w:pPr>
      <w:r w:rsidRPr="003736E8">
        <w:rPr>
          <w:rFonts w:ascii="Arial" w:hAnsi="Arial" w:cs="Arial"/>
        </w:rPr>
        <w:t xml:space="preserve">The LGA has </w:t>
      </w:r>
      <w:hyperlink r:id="rId31" w:history="1">
        <w:r w:rsidRPr="003736E8">
          <w:rPr>
            <w:rStyle w:val="Hyperlink"/>
            <w:rFonts w:ascii="Arial" w:hAnsi="Arial" w:cs="Arial"/>
          </w:rPr>
          <w:t>re</w:t>
        </w:r>
        <w:r w:rsidR="003138F6" w:rsidRPr="003736E8">
          <w:rPr>
            <w:rStyle w:val="Hyperlink"/>
            <w:rFonts w:ascii="Arial" w:hAnsi="Arial" w:cs="Arial"/>
          </w:rPr>
          <w:t>sponded</w:t>
        </w:r>
      </w:hyperlink>
      <w:r w:rsidRPr="003736E8">
        <w:rPr>
          <w:rFonts w:ascii="Arial" w:hAnsi="Arial" w:cs="Arial"/>
        </w:rPr>
        <w:t xml:space="preserve"> to a Public Sector Audit Appointments </w:t>
      </w:r>
      <w:r w:rsidR="0084488E" w:rsidRPr="003736E8">
        <w:rPr>
          <w:rFonts w:ascii="Arial" w:hAnsi="Arial" w:cs="Arial"/>
        </w:rPr>
        <w:t xml:space="preserve">(PSAA) </w:t>
      </w:r>
      <w:hyperlink r:id="rId32" w:history="1">
        <w:r w:rsidRPr="007210E3">
          <w:rPr>
            <w:rStyle w:val="Hyperlink"/>
            <w:rFonts w:ascii="Arial" w:hAnsi="Arial" w:cs="Arial"/>
          </w:rPr>
          <w:t>consultation on the scale of audit fees for 2019/20</w:t>
        </w:r>
      </w:hyperlink>
      <w:r w:rsidRPr="007210E3">
        <w:rPr>
          <w:rFonts w:ascii="Arial" w:hAnsi="Arial" w:cs="Arial"/>
        </w:rPr>
        <w:t xml:space="preserve">. </w:t>
      </w:r>
      <w:r w:rsidR="0084488E" w:rsidRPr="007210E3">
        <w:rPr>
          <w:rFonts w:ascii="Arial" w:hAnsi="Arial" w:cs="Arial"/>
        </w:rPr>
        <w:t>PSAA proposed</w:t>
      </w:r>
      <w:r w:rsidRPr="007210E3">
        <w:rPr>
          <w:rFonts w:ascii="Arial" w:hAnsi="Arial" w:cs="Arial"/>
        </w:rPr>
        <w:t xml:space="preserve"> that 2019/20 fees are set at the same level </w:t>
      </w:r>
      <w:r w:rsidR="007210E3" w:rsidRPr="007210E3">
        <w:rPr>
          <w:rFonts w:ascii="Arial" w:hAnsi="Arial" w:cs="Arial"/>
        </w:rPr>
        <w:t xml:space="preserve">as </w:t>
      </w:r>
      <w:r w:rsidRPr="007210E3">
        <w:rPr>
          <w:rFonts w:ascii="Arial" w:hAnsi="Arial" w:cs="Arial"/>
        </w:rPr>
        <w:t>2018/19</w:t>
      </w:r>
      <w:r w:rsidR="00F11E80" w:rsidRPr="007210E3">
        <w:rPr>
          <w:rFonts w:ascii="Arial" w:hAnsi="Arial" w:cs="Arial"/>
        </w:rPr>
        <w:t xml:space="preserve">. </w:t>
      </w:r>
      <w:r w:rsidRPr="007210E3">
        <w:rPr>
          <w:rFonts w:ascii="Arial" w:hAnsi="Arial" w:cs="Arial"/>
        </w:rPr>
        <w:t xml:space="preserve">The LGA response </w:t>
      </w:r>
      <w:r w:rsidR="003736E8" w:rsidRPr="007210E3">
        <w:rPr>
          <w:rFonts w:ascii="Arial" w:hAnsi="Arial" w:cs="Arial"/>
        </w:rPr>
        <w:t>was cleared by Resources B</w:t>
      </w:r>
      <w:r w:rsidR="003736E8" w:rsidRPr="003736E8">
        <w:rPr>
          <w:rFonts w:ascii="Arial" w:hAnsi="Arial" w:cs="Arial"/>
        </w:rPr>
        <w:t xml:space="preserve">oard Lead Members and </w:t>
      </w:r>
      <w:r w:rsidRPr="003736E8">
        <w:rPr>
          <w:rFonts w:ascii="Arial" w:hAnsi="Arial" w:cs="Arial"/>
        </w:rPr>
        <w:t xml:space="preserve">states that the reduction in fees since the new contracts came </w:t>
      </w:r>
      <w:r>
        <w:rPr>
          <w:rFonts w:ascii="Arial" w:hAnsi="Arial" w:cs="Arial"/>
        </w:rPr>
        <w:t>into place in 2012/13 is welcome</w:t>
      </w:r>
      <w:r w:rsidR="003736E8">
        <w:rPr>
          <w:rFonts w:ascii="Arial" w:hAnsi="Arial" w:cs="Arial"/>
        </w:rPr>
        <w:t>;</w:t>
      </w:r>
      <w:r w:rsidR="007210E3">
        <w:rPr>
          <w:rFonts w:ascii="Arial" w:hAnsi="Arial" w:cs="Arial"/>
        </w:rPr>
        <w:t xml:space="preserve"> however, it is important to c</w:t>
      </w:r>
      <w:r w:rsidRPr="003736E8">
        <w:rPr>
          <w:rFonts w:ascii="Arial" w:hAnsi="Arial" w:cs="Arial"/>
        </w:rPr>
        <w:t>ouncils that any reduction in fees should not affect the quality of audit work</w:t>
      </w:r>
      <w:r w:rsidR="00BA7EE9" w:rsidRPr="003736E8">
        <w:rPr>
          <w:rFonts w:ascii="Arial" w:hAnsi="Arial" w:cs="Arial"/>
        </w:rPr>
        <w:t xml:space="preserve">. </w:t>
      </w:r>
      <w:r w:rsidRPr="003736E8">
        <w:rPr>
          <w:rFonts w:ascii="Arial" w:hAnsi="Arial" w:cs="Arial"/>
        </w:rPr>
        <w:t>Overall, therefore, the proposal to freeze the level of fees in 2019/20 is supported</w:t>
      </w:r>
      <w:r w:rsidR="00EF0295">
        <w:rPr>
          <w:rFonts w:ascii="Arial" w:hAnsi="Arial" w:cs="Arial"/>
        </w:rPr>
        <w:t>.</w:t>
      </w:r>
    </w:p>
    <w:p w14:paraId="1DD8A206" w14:textId="77777777" w:rsidR="005F13E6" w:rsidRPr="005F13E6" w:rsidRDefault="005F13E6" w:rsidP="005F13E6">
      <w:pPr>
        <w:pStyle w:val="ListParagraph"/>
        <w:rPr>
          <w:rFonts w:ascii="Arial" w:hAnsi="Arial" w:cs="Arial"/>
        </w:rPr>
      </w:pPr>
    </w:p>
    <w:p w14:paraId="70EB198C" w14:textId="7D105039" w:rsidR="00591953" w:rsidRPr="003736E8" w:rsidRDefault="00591953" w:rsidP="009C5037">
      <w:pPr>
        <w:pStyle w:val="ListParagraph"/>
        <w:numPr>
          <w:ilvl w:val="0"/>
          <w:numId w:val="1"/>
        </w:numPr>
        <w:ind w:left="357" w:hanging="357"/>
        <w:rPr>
          <w:rFonts w:ascii="Arial" w:hAnsi="Arial" w:cs="Arial"/>
        </w:rPr>
      </w:pPr>
      <w:r w:rsidRPr="003736E8">
        <w:rPr>
          <w:rFonts w:ascii="Arial" w:hAnsi="Arial" w:cs="Arial"/>
        </w:rPr>
        <w:t xml:space="preserve">We also state that a number of our members have raised concerns that reducing audit fees could mean a reduction in quality and scope of audit, or that if additional work has to be done </w:t>
      </w:r>
      <w:r w:rsidR="003736E8">
        <w:rPr>
          <w:rFonts w:ascii="Arial" w:hAnsi="Arial" w:cs="Arial"/>
        </w:rPr>
        <w:t xml:space="preserve">it </w:t>
      </w:r>
      <w:r w:rsidRPr="003736E8">
        <w:rPr>
          <w:rFonts w:ascii="Arial" w:hAnsi="Arial" w:cs="Arial"/>
        </w:rPr>
        <w:t>could be accompanied by an additional fee. We are aware, through our ongoing engagement with PSAA, of the steps that are being taken to ensure the audits are delivered in accordance with the contracts and the regulatory requirements, as referred to in the consultation. We will continue to work with PSAA to ensure the needs of the sector are met.</w:t>
      </w:r>
    </w:p>
    <w:p w14:paraId="5F07B5CF" w14:textId="77777777" w:rsidR="00591953" w:rsidRDefault="00591953" w:rsidP="00591953">
      <w:pPr>
        <w:pStyle w:val="ListParagraph"/>
        <w:ind w:left="357"/>
        <w:rPr>
          <w:rFonts w:ascii="Arial" w:hAnsi="Arial" w:cs="Arial"/>
        </w:rPr>
      </w:pPr>
    </w:p>
    <w:p w14:paraId="315F3CC5" w14:textId="77777777" w:rsidR="009D6471" w:rsidRDefault="009D6471" w:rsidP="00591953">
      <w:pPr>
        <w:pStyle w:val="ListParagraph"/>
        <w:ind w:left="357"/>
        <w:rPr>
          <w:rFonts w:ascii="Arial" w:hAnsi="Arial" w:cs="Arial"/>
        </w:rPr>
      </w:pPr>
    </w:p>
    <w:p w14:paraId="2DAC9126" w14:textId="31CF8CA4" w:rsidR="0090218D" w:rsidRPr="009D6471" w:rsidRDefault="001C2BBC" w:rsidP="0090218D">
      <w:pPr>
        <w:rPr>
          <w:rFonts w:ascii="Arial" w:hAnsi="Arial" w:cs="Arial"/>
          <w:b/>
          <w:bCs/>
        </w:rPr>
      </w:pPr>
      <w:r w:rsidRPr="001C2BBC">
        <w:rPr>
          <w:rFonts w:ascii="Arial" w:hAnsi="Arial" w:cs="Arial"/>
          <w:b/>
          <w:bCs/>
        </w:rPr>
        <w:t>Review of enforcement agent (bailiff) reforms: call for evidence</w:t>
      </w:r>
    </w:p>
    <w:p w14:paraId="504931AD" w14:textId="77777777" w:rsidR="0090218D" w:rsidRPr="0090218D" w:rsidRDefault="0090218D" w:rsidP="0090218D">
      <w:pPr>
        <w:pStyle w:val="ListParagraph"/>
        <w:rPr>
          <w:rFonts w:ascii="Arial" w:hAnsi="Arial" w:cs="Arial"/>
        </w:rPr>
      </w:pPr>
    </w:p>
    <w:p w14:paraId="2F7D4656" w14:textId="0494CD40" w:rsidR="005F7B54" w:rsidRDefault="00591953" w:rsidP="005F7B54">
      <w:pPr>
        <w:pStyle w:val="ListParagraph"/>
        <w:numPr>
          <w:ilvl w:val="0"/>
          <w:numId w:val="1"/>
        </w:numPr>
        <w:rPr>
          <w:rFonts w:ascii="Arial" w:hAnsi="Arial" w:cs="Arial"/>
        </w:rPr>
      </w:pPr>
      <w:r w:rsidRPr="005F7B54">
        <w:rPr>
          <w:rFonts w:ascii="Arial" w:hAnsi="Arial" w:cs="Arial"/>
        </w:rPr>
        <w:t xml:space="preserve">The LGA </w:t>
      </w:r>
      <w:r w:rsidR="0090218D" w:rsidRPr="005F7B54">
        <w:rPr>
          <w:rFonts w:ascii="Arial" w:hAnsi="Arial" w:cs="Arial"/>
        </w:rPr>
        <w:t xml:space="preserve">made a </w:t>
      </w:r>
      <w:hyperlink r:id="rId33" w:history="1">
        <w:r w:rsidR="0090218D" w:rsidRPr="006F7400">
          <w:rPr>
            <w:rStyle w:val="Hyperlink"/>
            <w:rFonts w:ascii="Arial" w:hAnsi="Arial" w:cs="Arial"/>
          </w:rPr>
          <w:t>submission</w:t>
        </w:r>
      </w:hyperlink>
      <w:r w:rsidRPr="005F7B54">
        <w:rPr>
          <w:rFonts w:ascii="Arial" w:hAnsi="Arial" w:cs="Arial"/>
        </w:rPr>
        <w:t xml:space="preserve"> </w:t>
      </w:r>
      <w:r w:rsidR="00826611" w:rsidRPr="005F7B54">
        <w:rPr>
          <w:rFonts w:ascii="Arial" w:hAnsi="Arial" w:cs="Arial"/>
        </w:rPr>
        <w:t xml:space="preserve">in response </w:t>
      </w:r>
      <w:r w:rsidRPr="005F7B54">
        <w:rPr>
          <w:rFonts w:ascii="Arial" w:hAnsi="Arial" w:cs="Arial"/>
        </w:rPr>
        <w:t xml:space="preserve">to a Ministry of Justice </w:t>
      </w:r>
      <w:hyperlink r:id="rId34" w:history="1">
        <w:r w:rsidRPr="005F7B54">
          <w:rPr>
            <w:rStyle w:val="Hyperlink"/>
            <w:rFonts w:ascii="Arial" w:hAnsi="Arial" w:cs="Arial"/>
          </w:rPr>
          <w:t>call for evidence on enforcement agent (bailiff) reforms</w:t>
        </w:r>
      </w:hyperlink>
      <w:r w:rsidRPr="005F7B54">
        <w:rPr>
          <w:rFonts w:ascii="Arial" w:hAnsi="Arial" w:cs="Arial"/>
        </w:rPr>
        <w:t>.</w:t>
      </w:r>
      <w:r w:rsidR="00D06D13" w:rsidRPr="005F7B54">
        <w:rPr>
          <w:rFonts w:ascii="Arial" w:hAnsi="Arial" w:cs="Arial"/>
        </w:rPr>
        <w:t xml:space="preserve"> Lead Members of </w:t>
      </w:r>
      <w:r w:rsidR="00423D18" w:rsidRPr="005F7B54">
        <w:rPr>
          <w:rFonts w:ascii="Arial" w:hAnsi="Arial" w:cs="Arial"/>
        </w:rPr>
        <w:t>Resources</w:t>
      </w:r>
      <w:r w:rsidR="00D06D13" w:rsidRPr="005F7B54">
        <w:rPr>
          <w:rFonts w:ascii="Arial" w:hAnsi="Arial" w:cs="Arial"/>
        </w:rPr>
        <w:t xml:space="preserve"> Board cleared th</w:t>
      </w:r>
      <w:r w:rsidR="00826611" w:rsidRPr="005F7B54">
        <w:rPr>
          <w:rFonts w:ascii="Arial" w:hAnsi="Arial" w:cs="Arial"/>
        </w:rPr>
        <w:t>e</w:t>
      </w:r>
      <w:r w:rsidR="00D06D13" w:rsidRPr="005F7B54">
        <w:rPr>
          <w:rFonts w:ascii="Arial" w:hAnsi="Arial" w:cs="Arial"/>
        </w:rPr>
        <w:t xml:space="preserve"> submission</w:t>
      </w:r>
      <w:r w:rsidR="00826611" w:rsidRPr="005F7B54">
        <w:rPr>
          <w:rFonts w:ascii="Arial" w:hAnsi="Arial" w:cs="Arial"/>
        </w:rPr>
        <w:t xml:space="preserve"> which recognised the increased importance of council tax as a source of income to local authorities given that </w:t>
      </w:r>
      <w:r w:rsidR="00AE2DF9" w:rsidRPr="005F7B54">
        <w:rPr>
          <w:rFonts w:ascii="Arial" w:hAnsi="Arial" w:cs="Arial"/>
        </w:rPr>
        <w:t>council external funding has been cut by over £15 billion since 2010, and local government faces a funding gap of over £3 billion in 2019/20 just to maintain current services</w:t>
      </w:r>
      <w:r w:rsidR="00826611" w:rsidRPr="005F7B54">
        <w:rPr>
          <w:rFonts w:ascii="Arial" w:hAnsi="Arial" w:cs="Arial"/>
        </w:rPr>
        <w:t>.</w:t>
      </w:r>
      <w:r w:rsidR="005F7B54" w:rsidRPr="005F7B54">
        <w:rPr>
          <w:rFonts w:ascii="Arial" w:hAnsi="Arial" w:cs="Arial"/>
        </w:rPr>
        <w:t xml:space="preserve">  </w:t>
      </w:r>
      <w:r w:rsidR="005F7B54">
        <w:rPr>
          <w:rFonts w:ascii="Arial" w:hAnsi="Arial" w:cs="Arial"/>
        </w:rPr>
        <w:t>I</w:t>
      </w:r>
      <w:r w:rsidR="00AE2DF9" w:rsidRPr="005F7B54">
        <w:rPr>
          <w:rFonts w:ascii="Arial" w:hAnsi="Arial" w:cs="Arial"/>
        </w:rPr>
        <w:t xml:space="preserve">t </w:t>
      </w:r>
      <w:r w:rsidR="005F7B54">
        <w:rPr>
          <w:rFonts w:ascii="Arial" w:hAnsi="Arial" w:cs="Arial"/>
        </w:rPr>
        <w:t>is, therefore,</w:t>
      </w:r>
      <w:r w:rsidR="00AE2DF9" w:rsidRPr="005F7B54">
        <w:rPr>
          <w:rFonts w:ascii="Arial" w:hAnsi="Arial" w:cs="Arial"/>
        </w:rPr>
        <w:t xml:space="preserve"> important local authorities are able to collect income that is due to them</w:t>
      </w:r>
      <w:r w:rsidR="005F7B54">
        <w:rPr>
          <w:rFonts w:ascii="Arial" w:hAnsi="Arial" w:cs="Arial"/>
        </w:rPr>
        <w:t xml:space="preserve"> o</w:t>
      </w:r>
      <w:r w:rsidR="00AE2DF9" w:rsidRPr="005F7B54">
        <w:rPr>
          <w:rFonts w:ascii="Arial" w:hAnsi="Arial" w:cs="Arial"/>
        </w:rPr>
        <w:t>therwise valuable local services including those that that help protect children and vulnerable adults may need to face further cuts</w:t>
      </w:r>
      <w:r w:rsidR="005F7B54">
        <w:rPr>
          <w:rFonts w:ascii="Arial" w:hAnsi="Arial" w:cs="Arial"/>
        </w:rPr>
        <w:t>.</w:t>
      </w:r>
    </w:p>
    <w:p w14:paraId="4398EC49" w14:textId="77777777" w:rsidR="005F7B54" w:rsidRDefault="005F7B54" w:rsidP="005F7B54">
      <w:pPr>
        <w:pStyle w:val="ListParagraph"/>
        <w:ind w:left="360"/>
        <w:rPr>
          <w:rFonts w:ascii="Arial" w:hAnsi="Arial" w:cs="Arial"/>
        </w:rPr>
      </w:pPr>
    </w:p>
    <w:p w14:paraId="013063DA" w14:textId="0B26FFF3" w:rsidR="005F13E6" w:rsidRPr="005F7B54" w:rsidRDefault="005F7B54" w:rsidP="005F7B54">
      <w:pPr>
        <w:pStyle w:val="ListParagraph"/>
        <w:numPr>
          <w:ilvl w:val="0"/>
          <w:numId w:val="1"/>
        </w:numPr>
        <w:rPr>
          <w:rFonts w:ascii="Arial" w:hAnsi="Arial" w:cs="Arial"/>
        </w:rPr>
      </w:pPr>
      <w:r>
        <w:rPr>
          <w:rFonts w:ascii="Arial" w:hAnsi="Arial" w:cs="Arial"/>
        </w:rPr>
        <w:lastRenderedPageBreak/>
        <w:t xml:space="preserve">The submission recognised the </w:t>
      </w:r>
      <w:r w:rsidR="00AE2DF9" w:rsidRPr="005F7B54">
        <w:rPr>
          <w:rFonts w:ascii="Arial" w:hAnsi="Arial" w:cs="Arial"/>
        </w:rPr>
        <w:t xml:space="preserve">steps </w:t>
      </w:r>
      <w:r>
        <w:rPr>
          <w:rFonts w:ascii="Arial" w:hAnsi="Arial" w:cs="Arial"/>
        </w:rPr>
        <w:t xml:space="preserve">councils </w:t>
      </w:r>
      <w:r w:rsidR="00AE2DF9" w:rsidRPr="005F7B54">
        <w:rPr>
          <w:rFonts w:ascii="Arial" w:hAnsi="Arial" w:cs="Arial"/>
        </w:rPr>
        <w:t xml:space="preserve">make </w:t>
      </w:r>
      <w:r>
        <w:rPr>
          <w:rFonts w:ascii="Arial" w:hAnsi="Arial" w:cs="Arial"/>
        </w:rPr>
        <w:t xml:space="preserve">to help </w:t>
      </w:r>
      <w:r w:rsidR="00AE2DF9" w:rsidRPr="005F7B54">
        <w:rPr>
          <w:rFonts w:ascii="Arial" w:hAnsi="Arial" w:cs="Arial"/>
        </w:rPr>
        <w:t>people in financial difficulty</w:t>
      </w:r>
      <w:r>
        <w:rPr>
          <w:rFonts w:ascii="Arial" w:hAnsi="Arial" w:cs="Arial"/>
        </w:rPr>
        <w:t>, whether</w:t>
      </w:r>
      <w:r w:rsidR="00AE2DF9" w:rsidRPr="005F7B54">
        <w:rPr>
          <w:rFonts w:ascii="Arial" w:hAnsi="Arial" w:cs="Arial"/>
        </w:rPr>
        <w:t xml:space="preserve"> through signposting to free debt advice, or through the joint </w:t>
      </w:r>
      <w:hyperlink r:id="rId35" w:history="1">
        <w:r w:rsidR="00AE2DF9" w:rsidRPr="003B5CCB">
          <w:rPr>
            <w:rStyle w:val="Hyperlink"/>
            <w:rFonts w:ascii="Arial" w:hAnsi="Arial" w:cs="Arial"/>
          </w:rPr>
          <w:t>Council Tax Protocol,</w:t>
        </w:r>
      </w:hyperlink>
      <w:r w:rsidR="00AE2DF9" w:rsidRPr="005F7B54">
        <w:rPr>
          <w:rFonts w:ascii="Arial" w:hAnsi="Arial" w:cs="Arial"/>
        </w:rPr>
        <w:t xml:space="preserve"> which the LGA has dev</w:t>
      </w:r>
      <w:r>
        <w:rPr>
          <w:rFonts w:ascii="Arial" w:hAnsi="Arial" w:cs="Arial"/>
        </w:rPr>
        <w:t>eloped alongside Citizens Advice</w:t>
      </w:r>
      <w:r w:rsidR="00BA7EE9" w:rsidRPr="005F7B54">
        <w:rPr>
          <w:rFonts w:ascii="Arial" w:hAnsi="Arial" w:cs="Arial"/>
        </w:rPr>
        <w:t xml:space="preserve">. </w:t>
      </w:r>
    </w:p>
    <w:p w14:paraId="3DC1211A" w14:textId="77777777" w:rsidR="005F13E6" w:rsidRDefault="005F13E6" w:rsidP="005F13E6">
      <w:pPr>
        <w:pStyle w:val="ListParagraph"/>
        <w:ind w:left="360"/>
        <w:rPr>
          <w:rFonts w:ascii="Arial" w:hAnsi="Arial" w:cs="Arial"/>
        </w:rPr>
      </w:pPr>
    </w:p>
    <w:p w14:paraId="351FC80D" w14:textId="7D8E2341" w:rsidR="005F13E6" w:rsidRDefault="005F7B54" w:rsidP="009C5037">
      <w:pPr>
        <w:pStyle w:val="ListParagraph"/>
        <w:numPr>
          <w:ilvl w:val="0"/>
          <w:numId w:val="1"/>
        </w:numPr>
        <w:rPr>
          <w:rFonts w:ascii="Arial" w:hAnsi="Arial" w:cs="Arial"/>
        </w:rPr>
      </w:pPr>
      <w:r>
        <w:rPr>
          <w:rFonts w:ascii="Arial" w:hAnsi="Arial" w:cs="Arial"/>
        </w:rPr>
        <w:t xml:space="preserve">The </w:t>
      </w:r>
      <w:r w:rsidR="00591953" w:rsidRPr="00AE2DF9">
        <w:rPr>
          <w:rFonts w:ascii="Arial" w:hAnsi="Arial" w:cs="Arial"/>
        </w:rPr>
        <w:t xml:space="preserve">LGA </w:t>
      </w:r>
      <w:r w:rsidR="0095067D">
        <w:rPr>
          <w:rFonts w:ascii="Arial" w:hAnsi="Arial" w:cs="Arial"/>
        </w:rPr>
        <w:t>raised</w:t>
      </w:r>
      <w:r w:rsidR="00591953" w:rsidRPr="00AE2DF9">
        <w:rPr>
          <w:rFonts w:ascii="Arial" w:hAnsi="Arial" w:cs="Arial"/>
        </w:rPr>
        <w:t xml:space="preserve"> concerns over the fixed fees</w:t>
      </w:r>
      <w:r w:rsidR="00D06D13">
        <w:rPr>
          <w:rFonts w:ascii="Arial" w:hAnsi="Arial" w:cs="Arial"/>
        </w:rPr>
        <w:t>, which</w:t>
      </w:r>
      <w:r w:rsidR="00D06D13" w:rsidRPr="00D06D13">
        <w:rPr>
          <w:rFonts w:ascii="Arial" w:hAnsi="Arial" w:cs="Arial"/>
        </w:rPr>
        <w:t xml:space="preserve"> can be disproportionate, particularly for small debts, such as Council Tax Support</w:t>
      </w:r>
      <w:r w:rsidR="00BA7EE9">
        <w:rPr>
          <w:rFonts w:ascii="Arial" w:hAnsi="Arial" w:cs="Arial"/>
        </w:rPr>
        <w:t xml:space="preserve">. </w:t>
      </w:r>
      <w:r w:rsidR="00D06D13" w:rsidRPr="00D06D13">
        <w:rPr>
          <w:rFonts w:ascii="Arial" w:hAnsi="Arial" w:cs="Arial"/>
        </w:rPr>
        <w:t>In addition, the system of percentages can add up to substantial amounts in the case of some business rates debts.</w:t>
      </w:r>
    </w:p>
    <w:p w14:paraId="02673807" w14:textId="77777777" w:rsidR="005F13E6" w:rsidRPr="005F13E6" w:rsidRDefault="005F13E6" w:rsidP="005F13E6">
      <w:pPr>
        <w:pStyle w:val="ListParagraph"/>
        <w:rPr>
          <w:rFonts w:ascii="Arial" w:hAnsi="Arial" w:cs="Arial"/>
        </w:rPr>
      </w:pPr>
    </w:p>
    <w:p w14:paraId="16CDEEE0" w14:textId="64E4D71A" w:rsidR="00D06D13" w:rsidRPr="00D06D13" w:rsidRDefault="00D06D13" w:rsidP="009C5037">
      <w:pPr>
        <w:pStyle w:val="ListParagraph"/>
        <w:numPr>
          <w:ilvl w:val="0"/>
          <w:numId w:val="1"/>
        </w:numPr>
        <w:rPr>
          <w:rFonts w:ascii="Arial" w:hAnsi="Arial" w:cs="Arial"/>
        </w:rPr>
      </w:pPr>
      <w:r>
        <w:rPr>
          <w:rFonts w:ascii="Arial" w:hAnsi="Arial" w:cs="Arial"/>
        </w:rPr>
        <w:t>Finally, on the call for an independent regulator, on which there is no LGA policy, the evidence</w:t>
      </w:r>
      <w:r w:rsidRPr="00D06D13">
        <w:rPr>
          <w:rFonts w:ascii="Arial" w:hAnsi="Arial" w:cs="Arial"/>
        </w:rPr>
        <w:t xml:space="preserve"> </w:t>
      </w:r>
      <w:r>
        <w:rPr>
          <w:rFonts w:ascii="Arial" w:hAnsi="Arial" w:cs="Arial"/>
        </w:rPr>
        <w:t>states that the LGA</w:t>
      </w:r>
      <w:r w:rsidRPr="00D06D13">
        <w:rPr>
          <w:rFonts w:ascii="Arial" w:hAnsi="Arial" w:cs="Arial"/>
        </w:rPr>
        <w:t xml:space="preserve"> is aware that some organisations have made the case for </w:t>
      </w:r>
      <w:r>
        <w:rPr>
          <w:rFonts w:ascii="Arial" w:hAnsi="Arial" w:cs="Arial"/>
        </w:rPr>
        <w:t>this and that t</w:t>
      </w:r>
      <w:r w:rsidRPr="00D06D13">
        <w:rPr>
          <w:rFonts w:ascii="Arial" w:hAnsi="Arial" w:cs="Arial"/>
        </w:rPr>
        <w:t>he Governm</w:t>
      </w:r>
      <w:r>
        <w:rPr>
          <w:rFonts w:ascii="Arial" w:hAnsi="Arial" w:cs="Arial"/>
        </w:rPr>
        <w:t>ent should look carefully at this</w:t>
      </w:r>
      <w:r w:rsidRPr="00D06D13">
        <w:rPr>
          <w:rFonts w:ascii="Arial" w:hAnsi="Arial" w:cs="Arial"/>
        </w:rPr>
        <w:t xml:space="preserve"> case</w:t>
      </w:r>
      <w:r w:rsidR="00BA7EE9">
        <w:rPr>
          <w:rFonts w:ascii="Arial" w:hAnsi="Arial" w:cs="Arial"/>
        </w:rPr>
        <w:t>.</w:t>
      </w:r>
    </w:p>
    <w:p w14:paraId="4F249954" w14:textId="77777777" w:rsidR="00504406" w:rsidRDefault="00504406" w:rsidP="00504406">
      <w:pPr>
        <w:rPr>
          <w:rFonts w:ascii="Arial" w:hAnsi="Arial" w:cs="Arial"/>
        </w:rPr>
      </w:pPr>
    </w:p>
    <w:p w14:paraId="2A6D58D1" w14:textId="77777777" w:rsidR="00933875" w:rsidRPr="00504406" w:rsidRDefault="00933875" w:rsidP="00504406">
      <w:pPr>
        <w:rPr>
          <w:rFonts w:ascii="Arial" w:hAnsi="Arial" w:cs="Arial"/>
        </w:rPr>
      </w:pPr>
    </w:p>
    <w:p w14:paraId="1CAC3322" w14:textId="77777777" w:rsidR="004C3803" w:rsidRPr="002048CA" w:rsidRDefault="004C3803" w:rsidP="00720BE8">
      <w:pPr>
        <w:rPr>
          <w:rFonts w:ascii="Arial" w:hAnsi="Arial" w:cs="Arial"/>
          <w:b/>
          <w:bCs/>
        </w:rPr>
      </w:pPr>
      <w:r w:rsidRPr="0B50786C">
        <w:rPr>
          <w:rFonts w:ascii="Arial" w:hAnsi="Arial" w:cs="Arial"/>
          <w:b/>
          <w:bCs/>
        </w:rPr>
        <w:t xml:space="preserve">Implications for Wales </w:t>
      </w:r>
    </w:p>
    <w:p w14:paraId="153258F9" w14:textId="77777777" w:rsidR="004C3803" w:rsidRPr="002048CA" w:rsidRDefault="004C3803" w:rsidP="00720BE8">
      <w:pPr>
        <w:rPr>
          <w:rFonts w:ascii="Arial" w:hAnsi="Arial" w:cs="Arial"/>
          <w:b/>
          <w:szCs w:val="22"/>
        </w:rPr>
      </w:pPr>
    </w:p>
    <w:p w14:paraId="478C1615" w14:textId="22C3A401" w:rsidR="004C3803" w:rsidRPr="00822B6A" w:rsidRDefault="004C3803" w:rsidP="009C5037">
      <w:pPr>
        <w:pStyle w:val="ListParagraph"/>
        <w:numPr>
          <w:ilvl w:val="0"/>
          <w:numId w:val="1"/>
        </w:numPr>
        <w:contextualSpacing/>
        <w:rPr>
          <w:rFonts w:ascii="Arial" w:hAnsi="Arial" w:cs="Arial"/>
        </w:rPr>
      </w:pPr>
      <w:r w:rsidRPr="00822B6A">
        <w:rPr>
          <w:rFonts w:ascii="Arial" w:hAnsi="Arial" w:cs="Arial"/>
        </w:rPr>
        <w:t xml:space="preserve">There are no direct implications for Wales arising from </w:t>
      </w:r>
      <w:r w:rsidR="00A44B99">
        <w:rPr>
          <w:rFonts w:ascii="Arial" w:hAnsi="Arial" w:cs="Arial"/>
        </w:rPr>
        <w:t>the local government finance settlement, Business Rates R</w:t>
      </w:r>
      <w:r w:rsidR="00AC63E8" w:rsidRPr="00822B6A">
        <w:rPr>
          <w:rFonts w:ascii="Arial" w:hAnsi="Arial" w:cs="Arial"/>
        </w:rPr>
        <w:t>etention</w:t>
      </w:r>
      <w:r w:rsidR="00423D18">
        <w:rPr>
          <w:rFonts w:ascii="Arial" w:hAnsi="Arial" w:cs="Arial"/>
        </w:rPr>
        <w:t xml:space="preserve"> </w:t>
      </w:r>
      <w:r w:rsidR="00080FAF">
        <w:rPr>
          <w:rFonts w:ascii="Arial" w:hAnsi="Arial" w:cs="Arial"/>
        </w:rPr>
        <w:t>or</w:t>
      </w:r>
      <w:r w:rsidR="00AC63E8" w:rsidRPr="00822B6A">
        <w:rPr>
          <w:rFonts w:ascii="Arial" w:hAnsi="Arial" w:cs="Arial"/>
        </w:rPr>
        <w:t xml:space="preserve"> the Fair Funding R</w:t>
      </w:r>
      <w:r w:rsidR="00822B6A">
        <w:rPr>
          <w:rFonts w:ascii="Arial" w:hAnsi="Arial" w:cs="Arial"/>
        </w:rPr>
        <w:t>ev</w:t>
      </w:r>
      <w:r w:rsidR="00AC63E8" w:rsidRPr="00822B6A">
        <w:rPr>
          <w:rFonts w:ascii="Arial" w:hAnsi="Arial" w:cs="Arial"/>
        </w:rPr>
        <w:t>iew</w:t>
      </w:r>
      <w:r w:rsidR="00A44B99" w:rsidRPr="00A44B99">
        <w:rPr>
          <w:rFonts w:ascii="Arial" w:hAnsi="Arial" w:cs="Arial"/>
        </w:rPr>
        <w:t xml:space="preserve"> </w:t>
      </w:r>
      <w:r w:rsidR="00A44B99">
        <w:rPr>
          <w:rFonts w:ascii="Arial" w:hAnsi="Arial" w:cs="Arial"/>
        </w:rPr>
        <w:t xml:space="preserve">as the </w:t>
      </w:r>
      <w:r w:rsidR="00A44B99" w:rsidRPr="00822B6A">
        <w:rPr>
          <w:rFonts w:ascii="Arial" w:hAnsi="Arial" w:cs="Arial"/>
        </w:rPr>
        <w:t>distribution of funding to Welsh local authoritie</w:t>
      </w:r>
      <w:r w:rsidR="00A44B99">
        <w:rPr>
          <w:rFonts w:ascii="Arial" w:hAnsi="Arial" w:cs="Arial"/>
        </w:rPr>
        <w:t>s is a devolved matter in Wales.</w:t>
      </w:r>
      <w:r w:rsidR="00423D18">
        <w:rPr>
          <w:rFonts w:ascii="Arial" w:hAnsi="Arial" w:cs="Arial"/>
        </w:rPr>
        <w:t xml:space="preserve">  Discussions are taking place with colleagues in the Welsh LGA on the 2019</w:t>
      </w:r>
      <w:r w:rsidR="00B67CF7">
        <w:rPr>
          <w:rFonts w:ascii="Arial" w:hAnsi="Arial" w:cs="Arial"/>
        </w:rPr>
        <w:t xml:space="preserve"> Spending Review</w:t>
      </w:r>
      <w:r w:rsidR="00080FAF">
        <w:rPr>
          <w:rFonts w:ascii="Arial" w:hAnsi="Arial" w:cs="Arial"/>
        </w:rPr>
        <w:t>.</w:t>
      </w:r>
    </w:p>
    <w:p w14:paraId="579D41E3" w14:textId="77777777" w:rsidR="004C3803" w:rsidRDefault="004C3803" w:rsidP="00720BE8">
      <w:pPr>
        <w:contextualSpacing/>
        <w:rPr>
          <w:rFonts w:ascii="Arial" w:hAnsi="Arial" w:cs="Arial"/>
          <w:b/>
          <w:bCs/>
        </w:rPr>
      </w:pPr>
    </w:p>
    <w:p w14:paraId="58CA949B" w14:textId="77777777" w:rsidR="00933875" w:rsidRDefault="00933875" w:rsidP="00720BE8">
      <w:pPr>
        <w:contextualSpacing/>
        <w:rPr>
          <w:rFonts w:ascii="Arial" w:hAnsi="Arial" w:cs="Arial"/>
          <w:b/>
          <w:bCs/>
        </w:rPr>
      </w:pPr>
    </w:p>
    <w:p w14:paraId="2FC047B6" w14:textId="6E294911" w:rsidR="00483785" w:rsidRPr="002048CA" w:rsidRDefault="0B50786C" w:rsidP="00720BE8">
      <w:pPr>
        <w:contextualSpacing/>
        <w:rPr>
          <w:rFonts w:ascii="Arial" w:hAnsi="Arial" w:cs="Arial"/>
          <w:b/>
          <w:bCs/>
        </w:rPr>
      </w:pPr>
      <w:r w:rsidRPr="0B50786C">
        <w:rPr>
          <w:rFonts w:ascii="Arial" w:hAnsi="Arial" w:cs="Arial"/>
          <w:b/>
          <w:bCs/>
        </w:rPr>
        <w:t>Financial implications</w:t>
      </w:r>
    </w:p>
    <w:p w14:paraId="7E3FBC57" w14:textId="77777777" w:rsidR="00483785" w:rsidRPr="002048CA" w:rsidRDefault="00483785" w:rsidP="00720BE8">
      <w:pPr>
        <w:contextualSpacing/>
        <w:rPr>
          <w:rFonts w:ascii="Arial" w:hAnsi="Arial" w:cs="Arial"/>
          <w:b/>
        </w:rPr>
      </w:pPr>
    </w:p>
    <w:p w14:paraId="6AE7941C" w14:textId="702083CE" w:rsidR="00E76BCF" w:rsidRPr="008D4F7D" w:rsidRDefault="00DE06FF" w:rsidP="008D4F7D">
      <w:pPr>
        <w:pStyle w:val="ListParagraph"/>
        <w:numPr>
          <w:ilvl w:val="0"/>
          <w:numId w:val="1"/>
        </w:numPr>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commi</w:t>
      </w:r>
      <w:r w:rsidR="009E561E">
        <w:rPr>
          <w:rFonts w:ascii="Arial" w:hAnsi="Arial" w:cs="Arial"/>
        </w:rPr>
        <w:t>ssioning of 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sidR="00F11E80">
        <w:rPr>
          <w:rFonts w:ascii="Arial" w:hAnsi="Arial" w:cs="Arial"/>
        </w:rPr>
        <w:t xml:space="preserve">. </w:t>
      </w:r>
      <w:r w:rsidR="00935031" w:rsidRPr="008D4F7D">
        <w:rPr>
          <w:rFonts w:ascii="Arial" w:hAnsi="Arial" w:cs="Arial"/>
        </w:rPr>
        <w:t xml:space="preserve">Other </w:t>
      </w:r>
      <w:r w:rsidR="0B50786C" w:rsidRPr="008D4F7D">
        <w:rPr>
          <w:rFonts w:ascii="Arial" w:hAnsi="Arial" w:cs="Arial"/>
        </w:rPr>
        <w:t xml:space="preserve">work </w:t>
      </w:r>
      <w:r w:rsidR="00935031" w:rsidRPr="008D4F7D">
        <w:rPr>
          <w:rFonts w:ascii="Arial" w:hAnsi="Arial" w:cs="Arial"/>
        </w:rPr>
        <w:t xml:space="preserve">outlined in the paper above </w:t>
      </w:r>
      <w:r w:rsidR="0B50786C" w:rsidRPr="008D4F7D">
        <w:rPr>
          <w:rFonts w:ascii="Arial" w:hAnsi="Arial" w:cs="Arial"/>
        </w:rPr>
        <w:t xml:space="preserve">is part of the LGA’s core programme of work and as such has been budgeted for in </w:t>
      </w:r>
      <w:r w:rsidR="005C071A" w:rsidRPr="008D4F7D">
        <w:rPr>
          <w:rFonts w:ascii="Arial" w:hAnsi="Arial" w:cs="Arial"/>
        </w:rPr>
        <w:t>2018/19</w:t>
      </w:r>
      <w:r w:rsidR="008D4F7D">
        <w:rPr>
          <w:rFonts w:ascii="Arial" w:hAnsi="Arial" w:cs="Arial"/>
        </w:rPr>
        <w:t xml:space="preserve"> and 2019/20</w:t>
      </w:r>
      <w:r w:rsidR="005C071A" w:rsidRPr="008D4F7D">
        <w:rPr>
          <w:rFonts w:ascii="Arial" w:hAnsi="Arial" w:cs="Arial"/>
        </w:rPr>
        <w:t xml:space="preserve"> budget</w:t>
      </w:r>
      <w:r w:rsidR="008D4F7D">
        <w:rPr>
          <w:rFonts w:ascii="Arial" w:hAnsi="Arial" w:cs="Arial"/>
        </w:rPr>
        <w:t>s</w:t>
      </w:r>
      <w:r w:rsidR="005C071A" w:rsidRPr="008D4F7D">
        <w:rPr>
          <w:rFonts w:ascii="Arial" w:hAnsi="Arial" w:cs="Arial"/>
        </w:rPr>
        <w:t>.</w:t>
      </w:r>
      <w:r w:rsidR="00E76BCF" w:rsidRPr="008D4F7D">
        <w:rPr>
          <w:rFonts w:ascii="Arial" w:hAnsi="Arial" w:cs="Arial"/>
        </w:rPr>
        <w:br w:type="page"/>
      </w:r>
    </w:p>
    <w:p w14:paraId="6A66BCF4" w14:textId="513AEED7" w:rsidR="0035643B" w:rsidRPr="005459B7" w:rsidRDefault="0035643B" w:rsidP="0035643B">
      <w:pPr>
        <w:contextualSpacing/>
        <w:jc w:val="both"/>
        <w:rPr>
          <w:rFonts w:ascii="Arial" w:hAnsi="Arial" w:cs="Arial"/>
          <w:b/>
          <w:sz w:val="28"/>
          <w:u w:val="single"/>
        </w:rPr>
      </w:pPr>
      <w:r w:rsidRPr="005459B7">
        <w:rPr>
          <w:rFonts w:ascii="Arial" w:hAnsi="Arial" w:cs="Arial"/>
          <w:b/>
          <w:sz w:val="28"/>
          <w:u w:val="single"/>
        </w:rPr>
        <w:lastRenderedPageBreak/>
        <w:t>A</w:t>
      </w:r>
      <w:r w:rsidR="008C6AD0">
        <w:rPr>
          <w:rFonts w:ascii="Arial" w:hAnsi="Arial" w:cs="Arial"/>
          <w:b/>
          <w:sz w:val="28"/>
          <w:u w:val="single"/>
        </w:rPr>
        <w:t>nnex</w:t>
      </w:r>
      <w:bookmarkStart w:id="2" w:name="_GoBack"/>
      <w:bookmarkEnd w:id="2"/>
      <w:r w:rsidRPr="005459B7">
        <w:rPr>
          <w:rFonts w:ascii="Arial" w:hAnsi="Arial" w:cs="Arial"/>
          <w:b/>
          <w:sz w:val="28"/>
          <w:u w:val="single"/>
        </w:rPr>
        <w:t xml:space="preserve"> A</w:t>
      </w:r>
      <w:r w:rsidR="005459B7" w:rsidRPr="005459B7">
        <w:rPr>
          <w:rFonts w:ascii="Arial" w:hAnsi="Arial" w:cs="Arial"/>
          <w:b/>
          <w:sz w:val="28"/>
          <w:u w:val="single"/>
        </w:rPr>
        <w:t xml:space="preserve"> – High</w:t>
      </w:r>
      <w:r w:rsidRPr="005459B7">
        <w:rPr>
          <w:rFonts w:ascii="Arial" w:hAnsi="Arial" w:cs="Arial"/>
          <w:b/>
          <w:sz w:val="28"/>
          <w:u w:val="single"/>
        </w:rPr>
        <w:t>-level progress update on the LGA Fair Funding Review and Business Rates Retention work programme</w:t>
      </w:r>
    </w:p>
    <w:p w14:paraId="026BDF05" w14:textId="77777777" w:rsidR="0035643B" w:rsidRPr="00780054" w:rsidRDefault="0035643B" w:rsidP="0035643B">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35643B" w:rsidRPr="00780054" w14:paraId="0AEC40EA" w14:textId="77777777" w:rsidTr="005074F3">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F577863" w14:textId="77777777" w:rsidR="0035643B" w:rsidRPr="00780054" w:rsidRDefault="0035643B" w:rsidP="005074F3">
            <w:pPr>
              <w:contextualSpacing/>
              <w:jc w:val="both"/>
              <w:rPr>
                <w:rFonts w:ascii="Arial" w:hAnsi="Arial" w:cs="Arial"/>
                <w:b/>
                <w:bCs/>
              </w:rPr>
            </w:pPr>
            <w:r w:rsidRPr="00780054">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59B2694C" w14:textId="77777777" w:rsidR="0035643B" w:rsidRPr="00780054" w:rsidRDefault="0035643B" w:rsidP="005074F3">
            <w:pPr>
              <w:contextualSpacing/>
              <w:jc w:val="both"/>
              <w:rPr>
                <w:rFonts w:ascii="Arial" w:hAnsi="Arial" w:cs="Arial"/>
                <w:b/>
                <w:bCs/>
              </w:rPr>
            </w:pPr>
            <w:r w:rsidRPr="00780054">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C7E78C7" w14:textId="77777777" w:rsidR="0035643B" w:rsidRPr="00780054" w:rsidRDefault="0035643B" w:rsidP="005074F3">
            <w:pPr>
              <w:contextualSpacing/>
              <w:jc w:val="both"/>
              <w:rPr>
                <w:rFonts w:ascii="Arial" w:hAnsi="Arial" w:cs="Arial"/>
                <w:b/>
                <w:bCs/>
              </w:rPr>
            </w:pPr>
            <w:r w:rsidRPr="00780054">
              <w:rPr>
                <w:rFonts w:ascii="Arial" w:hAnsi="Arial" w:cs="Arial"/>
                <w:b/>
                <w:bCs/>
              </w:rPr>
              <w:t>Quick update</w:t>
            </w:r>
          </w:p>
        </w:tc>
      </w:tr>
      <w:tr w:rsidR="0035643B" w:rsidRPr="00780054" w14:paraId="42DD6F97" w14:textId="77777777" w:rsidTr="005074F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30396" w14:textId="77777777" w:rsidR="0035643B" w:rsidRPr="00780054" w:rsidRDefault="0035643B" w:rsidP="005074F3">
            <w:pPr>
              <w:contextualSpacing/>
              <w:rPr>
                <w:rFonts w:ascii="Arial" w:hAnsi="Arial" w:cs="Arial"/>
                <w:b/>
              </w:rPr>
            </w:pPr>
            <w:r w:rsidRPr="00780054">
              <w:rPr>
                <w:rFonts w:ascii="Arial" w:hAnsi="Arial" w:cs="Arial"/>
                <w:b/>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12D5C45" w14:textId="77777777" w:rsidR="0035643B" w:rsidRPr="00780054" w:rsidRDefault="0035643B" w:rsidP="005074F3">
            <w:pPr>
              <w:contextualSpacing/>
              <w:rPr>
                <w:rFonts w:ascii="Arial" w:hAnsi="Arial" w:cs="Arial"/>
              </w:rPr>
            </w:pPr>
            <w:r w:rsidRPr="00780054">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439A78B" w14:textId="77777777" w:rsidR="0035643B" w:rsidRPr="00780054" w:rsidRDefault="008C6AD0" w:rsidP="005074F3">
            <w:pPr>
              <w:contextualSpacing/>
              <w:rPr>
                <w:rFonts w:ascii="Arial" w:hAnsi="Arial" w:cs="Arial"/>
              </w:rPr>
            </w:pPr>
            <w:hyperlink r:id="rId36" w:history="1">
              <w:r w:rsidR="0035643B" w:rsidRPr="00780054">
                <w:rPr>
                  <w:rStyle w:val="Hyperlink"/>
                  <w:rFonts w:ascii="Arial" w:hAnsi="Arial" w:cs="Arial"/>
                </w:rPr>
                <w:t>Complete</w:t>
              </w:r>
            </w:hyperlink>
          </w:p>
        </w:tc>
      </w:tr>
      <w:tr w:rsidR="0035643B" w:rsidRPr="00780054" w14:paraId="2AD9A9A0" w14:textId="77777777" w:rsidTr="005074F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EC381" w14:textId="77777777" w:rsidR="0035643B" w:rsidRPr="00780054" w:rsidRDefault="0035643B" w:rsidP="005074F3">
            <w:pPr>
              <w:contextualSpacing/>
              <w:rPr>
                <w:rFonts w:ascii="Arial" w:hAnsi="Arial" w:cs="Arial"/>
                <w:b/>
              </w:rPr>
            </w:pPr>
            <w:r w:rsidRPr="00780054">
              <w:rPr>
                <w:rFonts w:ascii="Arial" w:hAnsi="Arial" w:cs="Arial"/>
                <w:b/>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56F08EE" w14:textId="77777777" w:rsidR="0035643B" w:rsidRPr="00780054" w:rsidRDefault="0035643B" w:rsidP="005074F3">
            <w:pPr>
              <w:contextualSpacing/>
              <w:rPr>
                <w:rFonts w:ascii="Arial" w:hAnsi="Arial" w:cs="Arial"/>
              </w:rPr>
            </w:pPr>
            <w:r w:rsidRPr="00780054">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FB63681" w14:textId="77777777" w:rsidR="0035643B" w:rsidRPr="00780054" w:rsidRDefault="0035643B" w:rsidP="005074F3">
            <w:pPr>
              <w:contextualSpacing/>
              <w:rPr>
                <w:rFonts w:ascii="Arial" w:hAnsi="Arial" w:cs="Arial"/>
              </w:rPr>
            </w:pPr>
          </w:p>
          <w:p w14:paraId="5C55B480" w14:textId="77777777" w:rsidR="0035643B" w:rsidRPr="00780054" w:rsidRDefault="0035643B" w:rsidP="005074F3">
            <w:pPr>
              <w:contextualSpacing/>
              <w:rPr>
                <w:rFonts w:ascii="Arial" w:hAnsi="Arial" w:cs="Arial"/>
              </w:rPr>
            </w:pPr>
            <w:r w:rsidRPr="00780054">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EFA70D5" w14:textId="77777777" w:rsidR="0035643B" w:rsidRPr="00780054" w:rsidRDefault="008C6AD0" w:rsidP="005074F3">
            <w:pPr>
              <w:contextualSpacing/>
              <w:rPr>
                <w:rFonts w:ascii="Arial" w:hAnsi="Arial" w:cs="Arial"/>
              </w:rPr>
            </w:pPr>
            <w:hyperlink r:id="rId37" w:history="1">
              <w:r w:rsidR="0035643B" w:rsidRPr="00780054">
                <w:rPr>
                  <w:rStyle w:val="Hyperlink"/>
                  <w:rFonts w:ascii="Arial" w:hAnsi="Arial" w:cs="Arial"/>
                </w:rPr>
                <w:t>Complete</w:t>
              </w:r>
            </w:hyperlink>
          </w:p>
          <w:p w14:paraId="48C78F84" w14:textId="77777777" w:rsidR="0035643B" w:rsidRPr="00780054" w:rsidRDefault="0035643B" w:rsidP="005074F3">
            <w:pPr>
              <w:contextualSpacing/>
              <w:rPr>
                <w:rFonts w:ascii="Arial" w:hAnsi="Arial" w:cs="Arial"/>
              </w:rPr>
            </w:pPr>
          </w:p>
        </w:tc>
      </w:tr>
      <w:tr w:rsidR="0035643B" w:rsidRPr="00780054" w14:paraId="606135E1" w14:textId="77777777" w:rsidTr="005074F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D1D76" w14:textId="77777777" w:rsidR="0035643B" w:rsidRPr="00780054" w:rsidRDefault="0035643B" w:rsidP="005074F3">
            <w:pPr>
              <w:contextualSpacing/>
              <w:rPr>
                <w:rFonts w:ascii="Arial" w:hAnsi="Arial" w:cs="Arial"/>
                <w:b/>
              </w:rPr>
            </w:pPr>
            <w:r w:rsidRPr="00780054">
              <w:rPr>
                <w:rFonts w:ascii="Arial" w:hAnsi="Arial" w:cs="Arial"/>
                <w:b/>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8703CDD" w14:textId="77777777" w:rsidR="0035643B" w:rsidRPr="00780054" w:rsidRDefault="0035643B" w:rsidP="005074F3">
            <w:pPr>
              <w:contextualSpacing/>
              <w:rPr>
                <w:rFonts w:ascii="Arial" w:hAnsi="Arial" w:cs="Arial"/>
              </w:rPr>
            </w:pPr>
            <w:r w:rsidRPr="00780054">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4DBD402" w14:textId="77777777" w:rsidR="0035643B" w:rsidRPr="00780054" w:rsidRDefault="008C6AD0" w:rsidP="005074F3">
            <w:pPr>
              <w:contextualSpacing/>
              <w:rPr>
                <w:rFonts w:ascii="Arial" w:hAnsi="Arial" w:cs="Arial"/>
              </w:rPr>
            </w:pPr>
            <w:hyperlink r:id="rId38" w:history="1">
              <w:r w:rsidR="0035643B" w:rsidRPr="00780054">
                <w:rPr>
                  <w:rStyle w:val="Hyperlink"/>
                  <w:rFonts w:ascii="Arial" w:hAnsi="Arial" w:cs="Arial"/>
                </w:rPr>
                <w:t>Complete</w:t>
              </w:r>
            </w:hyperlink>
          </w:p>
        </w:tc>
      </w:tr>
      <w:tr w:rsidR="0035643B" w:rsidRPr="00780054" w14:paraId="4A7E1779" w14:textId="77777777" w:rsidTr="005074F3">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5CDAD3" w14:textId="77777777" w:rsidR="0035643B" w:rsidRPr="00780054" w:rsidRDefault="0035643B" w:rsidP="005074F3">
            <w:pPr>
              <w:contextualSpacing/>
              <w:rPr>
                <w:rFonts w:ascii="Arial" w:hAnsi="Arial" w:cs="Arial"/>
                <w:b/>
              </w:rPr>
            </w:pPr>
            <w:r w:rsidRPr="00780054">
              <w:rPr>
                <w:rFonts w:ascii="Arial" w:hAnsi="Arial" w:cs="Arial"/>
                <w:b/>
              </w:rPr>
              <w:t>Council tax equalisation: develop a model</w:t>
            </w:r>
          </w:p>
          <w:p w14:paraId="61437B36" w14:textId="77777777" w:rsidR="0035643B" w:rsidRPr="00780054" w:rsidRDefault="0035643B" w:rsidP="005074F3">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74DAA70C" w14:textId="77777777" w:rsidR="0035643B" w:rsidRPr="00780054" w:rsidRDefault="0035643B" w:rsidP="005074F3">
            <w:pPr>
              <w:contextualSpacing/>
              <w:rPr>
                <w:rFonts w:ascii="Arial" w:hAnsi="Arial" w:cs="Arial"/>
              </w:rPr>
            </w:pPr>
            <w:r w:rsidRPr="00780054">
              <w:rPr>
                <w:rFonts w:ascii="Arial" w:hAnsi="Arial" w:cs="Arial"/>
              </w:rPr>
              <w:t>A model to identify the impact of adjustments for council tax and council tax support on individual authorities.</w:t>
            </w:r>
          </w:p>
          <w:p w14:paraId="03476ECD" w14:textId="77777777" w:rsidR="0035643B" w:rsidRPr="00780054" w:rsidRDefault="0035643B" w:rsidP="005074F3">
            <w:pPr>
              <w:contextualSpacing/>
              <w:rPr>
                <w:rFonts w:ascii="Arial" w:hAnsi="Arial" w:cs="Arial"/>
              </w:rPr>
            </w:pPr>
            <w:r w:rsidRPr="00780054">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6725043" w14:textId="77777777" w:rsidR="0035643B" w:rsidRPr="00780054" w:rsidRDefault="008C6AD0" w:rsidP="005074F3">
            <w:pPr>
              <w:contextualSpacing/>
              <w:rPr>
                <w:rFonts w:ascii="Arial" w:hAnsi="Arial" w:cs="Arial"/>
              </w:rPr>
            </w:pPr>
            <w:hyperlink r:id="rId39" w:history="1">
              <w:r w:rsidR="0035643B" w:rsidRPr="00780054">
                <w:rPr>
                  <w:rStyle w:val="Hyperlink"/>
                  <w:rFonts w:ascii="Arial" w:hAnsi="Arial" w:cs="Arial"/>
                </w:rPr>
                <w:t>Complete</w:t>
              </w:r>
            </w:hyperlink>
          </w:p>
        </w:tc>
      </w:tr>
      <w:tr w:rsidR="0035643B" w:rsidRPr="00780054" w14:paraId="1F942AE2" w14:textId="77777777" w:rsidTr="005074F3">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2575479" w14:textId="77777777" w:rsidR="0035643B" w:rsidRPr="00780054" w:rsidRDefault="0035643B" w:rsidP="005074F3">
            <w:pPr>
              <w:contextualSpacing/>
              <w:rPr>
                <w:rFonts w:ascii="Arial" w:hAnsi="Arial" w:cs="Arial"/>
                <w:b/>
              </w:rPr>
            </w:pPr>
            <w:r w:rsidRPr="00780054">
              <w:rPr>
                <w:rFonts w:ascii="Arial" w:hAnsi="Arial" w:cs="Arial"/>
                <w:b/>
              </w:rPr>
              <w:t>Damping</w:t>
            </w:r>
          </w:p>
          <w:p w14:paraId="4B5085CA" w14:textId="77777777" w:rsidR="0035643B" w:rsidRPr="00780054" w:rsidRDefault="0035643B" w:rsidP="005074F3">
            <w:pPr>
              <w:contextualSpacing/>
              <w:rPr>
                <w:rFonts w:ascii="Arial" w:hAnsi="Arial" w:cs="Arial"/>
                <w:b/>
              </w:rPr>
            </w:pPr>
            <w:r w:rsidRPr="00780054">
              <w:rPr>
                <w:rFonts w:ascii="Arial" w:hAnsi="Arial" w:cs="Arial"/>
                <w:b/>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297C6F" w14:textId="77777777" w:rsidR="0035643B" w:rsidRPr="00780054" w:rsidRDefault="0035643B" w:rsidP="005074F3">
            <w:pPr>
              <w:contextualSpacing/>
              <w:rPr>
                <w:rFonts w:ascii="Arial" w:hAnsi="Arial" w:cs="Arial"/>
              </w:rPr>
            </w:pPr>
            <w:r w:rsidRPr="00780054">
              <w:rPr>
                <w:rFonts w:ascii="Arial" w:hAnsi="Arial" w:cs="Arial"/>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197974D" w14:textId="7147FFBB" w:rsidR="0035643B" w:rsidRPr="00780054" w:rsidRDefault="008C6AD0" w:rsidP="00A279DD">
            <w:pPr>
              <w:contextualSpacing/>
              <w:rPr>
                <w:rFonts w:ascii="Arial" w:hAnsi="Arial" w:cs="Arial"/>
              </w:rPr>
            </w:pPr>
            <w:hyperlink r:id="rId40" w:history="1">
              <w:r w:rsidR="008D4F7D" w:rsidRPr="008D4F7D">
                <w:rPr>
                  <w:rStyle w:val="Hyperlink"/>
                  <w:rFonts w:ascii="Arial" w:hAnsi="Arial" w:cs="Arial"/>
                </w:rPr>
                <w:t>Complete</w:t>
              </w:r>
            </w:hyperlink>
          </w:p>
        </w:tc>
      </w:tr>
      <w:tr w:rsidR="0035643B" w:rsidRPr="00780054" w14:paraId="12BF3013" w14:textId="77777777" w:rsidTr="005074F3">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23DE5A3" w14:textId="77777777" w:rsidR="0035643B" w:rsidRPr="00780054" w:rsidRDefault="0035643B" w:rsidP="005074F3">
            <w:pPr>
              <w:contextualSpacing/>
              <w:rPr>
                <w:rFonts w:ascii="Arial" w:hAnsi="Arial" w:cs="Arial"/>
                <w:b/>
              </w:rPr>
            </w:pPr>
            <w:r w:rsidRPr="00780054">
              <w:rPr>
                <w:rFonts w:ascii="Arial" w:hAnsi="Arial" w:cs="Arial"/>
                <w:b/>
              </w:rPr>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9F6745" w14:textId="77777777" w:rsidR="0035643B" w:rsidRPr="00780054" w:rsidRDefault="0035643B" w:rsidP="005074F3">
            <w:pPr>
              <w:contextualSpacing/>
              <w:rPr>
                <w:rFonts w:ascii="Arial" w:hAnsi="Arial" w:cs="Arial"/>
              </w:rPr>
            </w:pPr>
            <w:r w:rsidRPr="00780054">
              <w:rPr>
                <w:rFonts w:ascii="Arial" w:hAnsi="Arial" w:cs="Arial"/>
              </w:rPr>
              <w:t>A model to enable LGA and local authorities to assess the impact of system design choices in areas including:</w:t>
            </w:r>
          </w:p>
          <w:p w14:paraId="5D499FBA" w14:textId="77777777" w:rsidR="0035643B" w:rsidRPr="00780054" w:rsidRDefault="0035643B" w:rsidP="0035643B">
            <w:pPr>
              <w:numPr>
                <w:ilvl w:val="0"/>
                <w:numId w:val="15"/>
              </w:numPr>
              <w:contextualSpacing/>
              <w:rPr>
                <w:rFonts w:ascii="Arial" w:hAnsi="Arial" w:cs="Arial"/>
              </w:rPr>
            </w:pPr>
            <w:r w:rsidRPr="00780054">
              <w:rPr>
                <w:rFonts w:ascii="Arial" w:hAnsi="Arial" w:cs="Arial"/>
              </w:rPr>
              <w:t>The setting of business rates baselines;</w:t>
            </w:r>
          </w:p>
          <w:p w14:paraId="6C817E81" w14:textId="77777777" w:rsidR="0035643B" w:rsidRPr="00780054" w:rsidRDefault="0035643B" w:rsidP="0035643B">
            <w:pPr>
              <w:numPr>
                <w:ilvl w:val="0"/>
                <w:numId w:val="15"/>
              </w:numPr>
              <w:contextualSpacing/>
              <w:rPr>
                <w:rFonts w:ascii="Arial" w:hAnsi="Arial" w:cs="Arial"/>
              </w:rPr>
            </w:pPr>
            <w:r w:rsidRPr="00780054">
              <w:rPr>
                <w:rFonts w:ascii="Arial" w:hAnsi="Arial" w:cs="Arial"/>
              </w:rPr>
              <w:t>The extent and frequency of business rates resets;</w:t>
            </w:r>
          </w:p>
          <w:p w14:paraId="3EDF1632" w14:textId="77777777" w:rsidR="0035643B" w:rsidRPr="00780054" w:rsidRDefault="0035643B" w:rsidP="0035643B">
            <w:pPr>
              <w:numPr>
                <w:ilvl w:val="0"/>
                <w:numId w:val="15"/>
              </w:numPr>
              <w:contextualSpacing/>
              <w:rPr>
                <w:rFonts w:ascii="Arial" w:hAnsi="Arial" w:cs="Arial"/>
              </w:rPr>
            </w:pPr>
            <w:r w:rsidRPr="00780054">
              <w:rPr>
                <w:rFonts w:ascii="Arial" w:hAnsi="Arial" w:cs="Arial"/>
              </w:rPr>
              <w:t>Dealing with losses due to appeals;</w:t>
            </w:r>
          </w:p>
          <w:p w14:paraId="0F635568" w14:textId="77777777" w:rsidR="0035643B" w:rsidRPr="00780054" w:rsidRDefault="0035643B" w:rsidP="0035643B">
            <w:pPr>
              <w:numPr>
                <w:ilvl w:val="0"/>
                <w:numId w:val="15"/>
              </w:numPr>
              <w:contextualSpacing/>
              <w:rPr>
                <w:rFonts w:ascii="Arial" w:hAnsi="Arial" w:cs="Arial"/>
              </w:rPr>
            </w:pPr>
            <w:r w:rsidRPr="00780054">
              <w:rPr>
                <w:rFonts w:ascii="Arial" w:hAnsi="Arial" w:cs="Arial"/>
              </w:rPr>
              <w:t>The level of the safety net and how it is funded; and</w:t>
            </w:r>
          </w:p>
          <w:p w14:paraId="70D03711" w14:textId="77777777" w:rsidR="0035643B" w:rsidRPr="00780054" w:rsidRDefault="0035643B" w:rsidP="0035643B">
            <w:pPr>
              <w:numPr>
                <w:ilvl w:val="0"/>
                <w:numId w:val="15"/>
              </w:numPr>
              <w:contextualSpacing/>
              <w:rPr>
                <w:rFonts w:ascii="Arial" w:hAnsi="Arial" w:cs="Arial"/>
              </w:rPr>
            </w:pPr>
            <w:r w:rsidRPr="00780054">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DD8188" w14:textId="2A0BF435" w:rsidR="0035643B" w:rsidRPr="00010619" w:rsidRDefault="008C6AD0" w:rsidP="00A279DD">
            <w:pPr>
              <w:contextualSpacing/>
              <w:rPr>
                <w:rFonts w:ascii="Arial" w:hAnsi="Arial" w:cs="Arial"/>
                <w:color w:val="0000FF"/>
                <w:u w:val="single"/>
              </w:rPr>
            </w:pPr>
            <w:hyperlink r:id="rId41" w:history="1">
              <w:r w:rsidR="00A279DD" w:rsidRPr="00010619">
                <w:rPr>
                  <w:rStyle w:val="Hyperlink"/>
                  <w:rFonts w:ascii="Arial" w:hAnsi="Arial" w:cs="Arial"/>
                </w:rPr>
                <w:t>Complete</w:t>
              </w:r>
            </w:hyperlink>
          </w:p>
        </w:tc>
      </w:tr>
      <w:tr w:rsidR="00010619" w:rsidRPr="00780054" w14:paraId="189782CB" w14:textId="77777777" w:rsidTr="005074F3">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6054347" w14:textId="635E9A47" w:rsidR="00010619" w:rsidRPr="00780054" w:rsidRDefault="00010619" w:rsidP="00010619">
            <w:pPr>
              <w:contextualSpacing/>
              <w:rPr>
                <w:rFonts w:ascii="Arial" w:hAnsi="Arial" w:cs="Arial"/>
                <w:b/>
              </w:rPr>
            </w:pPr>
            <w:r>
              <w:rPr>
                <w:rFonts w:ascii="Arial" w:hAnsi="Arial" w:cs="Arial"/>
                <w:b/>
              </w:rPr>
              <w:lastRenderedPageBreak/>
              <w:t>Alternative Administration Model of Business Rates Retention</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F2D6E1" w14:textId="13E0D755" w:rsidR="00010619" w:rsidRPr="00780054" w:rsidRDefault="00010619" w:rsidP="00010619">
            <w:pPr>
              <w:contextualSpacing/>
              <w:rPr>
                <w:rFonts w:ascii="Arial" w:hAnsi="Arial" w:cs="Arial"/>
              </w:rPr>
            </w:pPr>
            <w:r w:rsidRPr="00780054">
              <w:rPr>
                <w:rFonts w:ascii="Arial" w:hAnsi="Arial" w:cs="Arial"/>
              </w:rPr>
              <w:t xml:space="preserve">A model to enable LGA and local authorities to assess the impact of </w:t>
            </w:r>
            <w:r>
              <w:rPr>
                <w:rFonts w:ascii="Arial" w:hAnsi="Arial" w:cs="Arial"/>
              </w:rPr>
              <w:t>the alternative model</w:t>
            </w:r>
            <w:r w:rsidRPr="00780054">
              <w:rPr>
                <w:rFonts w:ascii="Arial" w:hAnsi="Arial" w:cs="Arial"/>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2A58A4" w14:textId="3EE8175E" w:rsidR="00010619" w:rsidRPr="00010619" w:rsidRDefault="00010619" w:rsidP="00010619">
            <w:pPr>
              <w:contextualSpacing/>
              <w:rPr>
                <w:highlight w:val="yellow"/>
              </w:rPr>
            </w:pPr>
            <w:r w:rsidRPr="00010619">
              <w:rPr>
                <w:rFonts w:ascii="Arial" w:hAnsi="Arial" w:cs="Arial"/>
              </w:rPr>
              <w:t>Commissioned an</w:t>
            </w:r>
            <w:r>
              <w:rPr>
                <w:rFonts w:ascii="Arial" w:hAnsi="Arial" w:cs="Arial"/>
              </w:rPr>
              <w:t>d due for completion by end of M</w:t>
            </w:r>
            <w:r w:rsidR="005F3D33">
              <w:rPr>
                <w:rFonts w:ascii="Arial" w:hAnsi="Arial" w:cs="Arial"/>
              </w:rPr>
              <w:t>arch 2019</w:t>
            </w:r>
            <w:r w:rsidRPr="00010619">
              <w:rPr>
                <w:rFonts w:ascii="Arial" w:hAnsi="Arial" w:cs="Arial"/>
              </w:rPr>
              <w:t>.</w:t>
            </w:r>
          </w:p>
        </w:tc>
      </w:tr>
    </w:tbl>
    <w:p w14:paraId="7D075A66" w14:textId="58BF3331" w:rsidR="00393643" w:rsidRDefault="00393643" w:rsidP="0035643B">
      <w:pPr>
        <w:contextualSpacing/>
        <w:jc w:val="both"/>
        <w:rPr>
          <w:rFonts w:ascii="Arial" w:hAnsi="Arial" w:cs="Arial"/>
          <w:b/>
        </w:rPr>
      </w:pPr>
    </w:p>
    <w:p w14:paraId="68F7D027" w14:textId="6DA63EC7" w:rsidR="005C071A" w:rsidRDefault="005C071A">
      <w:pPr>
        <w:spacing w:after="160" w:line="259" w:lineRule="auto"/>
        <w:rPr>
          <w:rFonts w:ascii="Arial" w:hAnsi="Arial" w:cs="Arial"/>
          <w:b/>
        </w:rPr>
      </w:pPr>
    </w:p>
    <w:sectPr w:rsidR="005C071A" w:rsidSect="00D254B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F6E13" w16cid:durableId="1F90251C"/>
  <w16cid:commentId w16cid:paraId="68E83AAA" w16cid:durableId="1F9023CB"/>
  <w16cid:commentId w16cid:paraId="271A8A5D" w16cid:durableId="1F902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05588" w14:textId="77777777" w:rsidR="00D91F4E" w:rsidRDefault="00D91F4E">
      <w:r>
        <w:separator/>
      </w:r>
    </w:p>
  </w:endnote>
  <w:endnote w:type="continuationSeparator" w:id="0">
    <w:p w14:paraId="680F0C0B" w14:textId="77777777" w:rsidR="00D91F4E" w:rsidRDefault="00D91F4E">
      <w:r>
        <w:continuationSeparator/>
      </w:r>
    </w:p>
  </w:endnote>
  <w:endnote w:type="continuationNotice" w:id="1">
    <w:p w14:paraId="5CBA9299" w14:textId="77777777" w:rsidR="00D91F4E" w:rsidRDefault="00D9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4E2078" w:rsidRDefault="004E207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9932A" w14:textId="77777777" w:rsidR="00D91F4E" w:rsidRDefault="00D91F4E">
      <w:r>
        <w:separator/>
      </w:r>
    </w:p>
  </w:footnote>
  <w:footnote w:type="continuationSeparator" w:id="0">
    <w:p w14:paraId="042EE923" w14:textId="77777777" w:rsidR="00D91F4E" w:rsidRDefault="00D91F4E">
      <w:r>
        <w:continuationSeparator/>
      </w:r>
    </w:p>
  </w:footnote>
  <w:footnote w:type="continuationNotice" w:id="1">
    <w:p w14:paraId="5C4245C4" w14:textId="77777777" w:rsidR="00D91F4E" w:rsidRDefault="00D91F4E"/>
  </w:footnote>
  <w:footnote w:id="2">
    <w:p w14:paraId="0608E415" w14:textId="660A5A3F" w:rsidR="004E2078" w:rsidRDefault="004E2078">
      <w:pPr>
        <w:pStyle w:val="FootnoteText"/>
      </w:pPr>
      <w:r>
        <w:rPr>
          <w:rStyle w:val="FootnoteReference"/>
        </w:rPr>
        <w:footnoteRef/>
      </w:r>
      <w:r>
        <w:t xml:space="preserve"> </w:t>
      </w:r>
      <w:r>
        <w:rPr>
          <w:rFonts w:ascii="Arial" w:hAnsi="Arial" w:cs="Arial"/>
          <w:szCs w:val="22"/>
        </w:rPr>
        <w:t>for</w:t>
      </w:r>
      <w:r w:rsidRPr="00FB6DF1">
        <w:rPr>
          <w:rFonts w:ascii="Arial" w:hAnsi="Arial" w:cs="Arial"/>
          <w:szCs w:val="22"/>
        </w:rPr>
        <w:t xml:space="preserve"> shire county councils, unitary authorities, London borough councils, the City of London, the Isles of Scilly, the GLA general precept and fire and rescue authorities</w:t>
      </w:r>
      <w:r>
        <w:rPr>
          <w:rFonts w:ascii="Arial" w:hAnsi="Arial" w:cs="Arial"/>
          <w:szCs w:val="22"/>
        </w:rPr>
        <w:t>. A referendum limit for Northamptonshire was set at 5 per cent.</w:t>
      </w:r>
    </w:p>
  </w:footnote>
  <w:footnote w:id="3">
    <w:p w14:paraId="0078DC1F" w14:textId="7837440D" w:rsidR="004E2078" w:rsidRDefault="004E2078">
      <w:pPr>
        <w:pStyle w:val="FootnoteText"/>
      </w:pPr>
      <w:r>
        <w:rPr>
          <w:rStyle w:val="FootnoteReference"/>
        </w:rPr>
        <w:footnoteRef/>
      </w:r>
      <w:r>
        <w:t xml:space="preserve"> </w:t>
      </w:r>
      <w:r w:rsidRPr="00FB6DF1">
        <w:rPr>
          <w:rFonts w:ascii="Arial" w:hAnsi="Arial" w:cs="Arial"/>
          <w:szCs w:val="22"/>
        </w:rPr>
        <w:t>2 per cent flexibility available for social care authorities</w:t>
      </w:r>
      <w:r>
        <w:rPr>
          <w:rFonts w:ascii="Arial" w:hAnsi="Arial" w:cs="Arial"/>
          <w:szCs w:val="22"/>
        </w:rPr>
        <w:t xml:space="preserve"> in 2019/20 providing</w:t>
      </w:r>
      <w:r w:rsidRPr="00FB6DF1">
        <w:rPr>
          <w:rFonts w:ascii="Arial" w:hAnsi="Arial" w:cs="Arial"/>
          <w:szCs w:val="22"/>
        </w:rPr>
        <w:t xml:space="preserve"> increases for the Adult Social Care precept </w:t>
      </w:r>
      <w:r>
        <w:rPr>
          <w:rFonts w:ascii="Arial" w:hAnsi="Arial" w:cs="Arial"/>
          <w:szCs w:val="22"/>
        </w:rPr>
        <w:t xml:space="preserve">do </w:t>
      </w:r>
      <w:r w:rsidRPr="00FB6DF1">
        <w:rPr>
          <w:rFonts w:ascii="Arial" w:hAnsi="Arial" w:cs="Arial"/>
          <w:szCs w:val="22"/>
        </w:rPr>
        <w:t>not exceed 6 per cent between 2017/18 and 2019/20</w:t>
      </w:r>
    </w:p>
  </w:footnote>
  <w:footnote w:id="4">
    <w:p w14:paraId="3C3DFB64" w14:textId="61F4A76E" w:rsidR="004E2078" w:rsidRDefault="004E2078">
      <w:pPr>
        <w:pStyle w:val="FootnoteText"/>
      </w:pPr>
      <w:r>
        <w:rPr>
          <w:rStyle w:val="FootnoteReference"/>
        </w:rPr>
        <w:footnoteRef/>
      </w:r>
      <w:r>
        <w:t xml:space="preserve"> </w:t>
      </w:r>
      <w:r w:rsidRPr="003B12B2">
        <w:rPr>
          <w:rFonts w:ascii="Arial" w:hAnsi="Arial" w:cs="Arial"/>
          <w:szCs w:val="22"/>
        </w:rPr>
        <w:t>includ</w:t>
      </w:r>
      <w:r>
        <w:rPr>
          <w:rFonts w:ascii="Arial" w:hAnsi="Arial" w:cs="Arial"/>
          <w:szCs w:val="22"/>
        </w:rPr>
        <w:t>ed</w:t>
      </w:r>
      <w:r w:rsidRPr="003B12B2">
        <w:rPr>
          <w:rFonts w:ascii="Arial" w:hAnsi="Arial" w:cs="Arial"/>
          <w:szCs w:val="22"/>
        </w:rPr>
        <w:t xml:space="preserve"> the Greater London Authority charge for the Metropolitan Police, and the PCC component of the Greater Manchester Combined Authority precept</w:t>
      </w:r>
    </w:p>
  </w:footnote>
  <w:footnote w:id="5">
    <w:p w14:paraId="2E146370" w14:textId="652CA4E6" w:rsidR="004E2078" w:rsidRDefault="004E2078">
      <w:pPr>
        <w:pStyle w:val="FootnoteText"/>
      </w:pPr>
      <w:r>
        <w:rPr>
          <w:rStyle w:val="FootnoteReference"/>
        </w:rPr>
        <w:footnoteRef/>
      </w:r>
      <w:r>
        <w:t xml:space="preserve"> The Government will take a final decision on the transfer of public health into further business rates retention this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4E2078" w:rsidRDefault="004E2078" w:rsidP="00057144">
    <w:pPr>
      <w:pStyle w:val="Header"/>
    </w:pPr>
  </w:p>
  <w:tbl>
    <w:tblPr>
      <w:tblW w:w="0" w:type="auto"/>
      <w:tblLook w:val="01E0" w:firstRow="1" w:lastRow="1" w:firstColumn="1" w:lastColumn="1" w:noHBand="0" w:noVBand="0"/>
    </w:tblPr>
    <w:tblGrid>
      <w:gridCol w:w="5850"/>
      <w:gridCol w:w="3221"/>
    </w:tblGrid>
    <w:tr w:rsidR="00057144" w:rsidRPr="004F266E" w14:paraId="32BF61E7" w14:textId="77777777" w:rsidTr="0099457D">
      <w:tc>
        <w:tcPr>
          <w:tcW w:w="5920" w:type="dxa"/>
          <w:vMerge w:val="restart"/>
          <w:shd w:val="clear" w:color="auto" w:fill="auto"/>
        </w:tcPr>
        <w:p w14:paraId="29DEFED8" w14:textId="77777777" w:rsidR="00057144" w:rsidRPr="00374227" w:rsidRDefault="00057144" w:rsidP="00057144">
          <w:pPr>
            <w:pStyle w:val="Header"/>
            <w:tabs>
              <w:tab w:val="clear" w:pos="4153"/>
              <w:tab w:val="clear" w:pos="8306"/>
              <w:tab w:val="center" w:pos="2923"/>
            </w:tabs>
          </w:pPr>
          <w:r>
            <w:rPr>
              <w:noProof/>
            </w:rPr>
            <w:drawing>
              <wp:inline distT="0" distB="0" distL="0" distR="0" wp14:anchorId="670D8032" wp14:editId="0BFBFC6C">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6AE372FE" w14:textId="77777777" w:rsidR="00057144" w:rsidRPr="00E7702B" w:rsidRDefault="00057144" w:rsidP="00057144">
          <w:pPr>
            <w:pStyle w:val="Header"/>
            <w:rPr>
              <w:rFonts w:ascii="Arial" w:hAnsi="Arial" w:cs="Arial"/>
              <w:b/>
              <w:bCs/>
              <w:i/>
              <w:iCs/>
            </w:rPr>
          </w:pPr>
          <w:r>
            <w:rPr>
              <w:rFonts w:ascii="Arial" w:hAnsi="Arial" w:cs="Arial"/>
              <w:b/>
              <w:bCs/>
            </w:rPr>
            <w:t>Resources Board</w:t>
          </w:r>
          <w:r w:rsidRPr="0B50786C">
            <w:rPr>
              <w:rFonts w:ascii="Arial" w:hAnsi="Arial" w:cs="Arial"/>
              <w:i/>
              <w:iCs/>
            </w:rPr>
            <w:t xml:space="preserve"> </w:t>
          </w:r>
        </w:p>
      </w:tc>
    </w:tr>
    <w:tr w:rsidR="00057144" w14:paraId="4AA79784" w14:textId="77777777" w:rsidTr="0099457D">
      <w:trPr>
        <w:trHeight w:val="450"/>
      </w:trPr>
      <w:tc>
        <w:tcPr>
          <w:tcW w:w="5920" w:type="dxa"/>
          <w:vMerge/>
          <w:shd w:val="clear" w:color="auto" w:fill="auto"/>
        </w:tcPr>
        <w:p w14:paraId="731B967C" w14:textId="77777777" w:rsidR="00057144" w:rsidRPr="00374227" w:rsidRDefault="00057144" w:rsidP="00057144">
          <w:pPr>
            <w:pStyle w:val="Header"/>
          </w:pPr>
        </w:p>
      </w:tc>
      <w:tc>
        <w:tcPr>
          <w:tcW w:w="3260" w:type="dxa"/>
          <w:shd w:val="clear" w:color="auto" w:fill="auto"/>
          <w:vAlign w:val="center"/>
        </w:tcPr>
        <w:p w14:paraId="0468FC66" w14:textId="77777777" w:rsidR="00057144" w:rsidRPr="00374227" w:rsidRDefault="00057144" w:rsidP="00057144">
          <w:pPr>
            <w:pStyle w:val="Header"/>
            <w:spacing w:before="60"/>
            <w:rPr>
              <w:rFonts w:ascii="Arial" w:hAnsi="Arial" w:cs="Arial"/>
            </w:rPr>
          </w:pPr>
          <w:r>
            <w:rPr>
              <w:rFonts w:ascii="Arial" w:hAnsi="Arial" w:cs="Arial"/>
            </w:rPr>
            <w:t>26 February 2019</w:t>
          </w:r>
          <w:r w:rsidRPr="0B50786C">
            <w:rPr>
              <w:rFonts w:ascii="Arial" w:hAnsi="Arial" w:cs="Arial"/>
            </w:rPr>
            <w:t xml:space="preserve"> </w:t>
          </w:r>
        </w:p>
      </w:tc>
    </w:tr>
    <w:tr w:rsidR="00057144" w:rsidRPr="004F266E" w14:paraId="29D3CED0" w14:textId="77777777" w:rsidTr="0099457D">
      <w:trPr>
        <w:trHeight w:val="708"/>
      </w:trPr>
      <w:tc>
        <w:tcPr>
          <w:tcW w:w="5920" w:type="dxa"/>
          <w:vMerge/>
          <w:shd w:val="clear" w:color="auto" w:fill="auto"/>
        </w:tcPr>
        <w:p w14:paraId="1A6C8137" w14:textId="77777777" w:rsidR="00057144" w:rsidRPr="00374227" w:rsidRDefault="00057144" w:rsidP="00057144">
          <w:pPr>
            <w:pStyle w:val="Header"/>
          </w:pPr>
        </w:p>
      </w:tc>
      <w:tc>
        <w:tcPr>
          <w:tcW w:w="3260" w:type="dxa"/>
          <w:shd w:val="clear" w:color="auto" w:fill="auto"/>
          <w:vAlign w:val="center"/>
        </w:tcPr>
        <w:p w14:paraId="4FA5E1C9" w14:textId="77777777" w:rsidR="00057144" w:rsidRPr="00374227" w:rsidRDefault="00057144" w:rsidP="00057144">
          <w:pPr>
            <w:pStyle w:val="Header"/>
            <w:spacing w:before="60"/>
            <w:rPr>
              <w:rFonts w:ascii="Arial" w:hAnsi="Arial" w:cs="Arial"/>
              <w:b/>
              <w:bCs/>
            </w:rPr>
          </w:pPr>
        </w:p>
      </w:tc>
    </w:tr>
  </w:tbl>
  <w:p w14:paraId="2D0EBFC0" w14:textId="77777777" w:rsidR="00057144" w:rsidRPr="00057144" w:rsidRDefault="00057144" w:rsidP="00057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E2078" w:rsidRDefault="004E2078" w:rsidP="00765850">
    <w:pPr>
      <w:pStyle w:val="Header"/>
      <w:rPr>
        <w:sz w:val="2"/>
      </w:rPr>
    </w:pPr>
  </w:p>
  <w:p w14:paraId="3E8322C2" w14:textId="77777777" w:rsidR="004E2078" w:rsidRDefault="004E2078"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4E2078" w:rsidRPr="001D2C76" w14:paraId="3E8322C5" w14:textId="77777777" w:rsidTr="005459B7">
      <w:tc>
        <w:tcPr>
          <w:tcW w:w="6062" w:type="dxa"/>
          <w:vMerge w:val="restart"/>
        </w:tcPr>
        <w:p w14:paraId="3E8322C3" w14:textId="77777777" w:rsidR="004E2078" w:rsidRDefault="004E2078"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E2078" w:rsidRPr="001D2C76" w:rsidRDefault="004E2078" w:rsidP="0B50786C">
          <w:pPr>
            <w:pStyle w:val="Header"/>
            <w:rPr>
              <w:b/>
              <w:bCs/>
            </w:rPr>
          </w:pPr>
          <w:r w:rsidRPr="0B50786C">
            <w:rPr>
              <w:rFonts w:ascii="Arial" w:hAnsi="Arial" w:cs="Arial"/>
              <w:b/>
              <w:bCs/>
              <w:sz w:val="24"/>
              <w:szCs w:val="24"/>
            </w:rPr>
            <w:t>Meeting title</w:t>
          </w:r>
        </w:p>
      </w:tc>
    </w:tr>
    <w:tr w:rsidR="004E2078" w14:paraId="3E8322C8" w14:textId="77777777" w:rsidTr="005459B7">
      <w:trPr>
        <w:trHeight w:val="450"/>
      </w:trPr>
      <w:tc>
        <w:tcPr>
          <w:tcW w:w="6062" w:type="dxa"/>
          <w:vMerge/>
        </w:tcPr>
        <w:p w14:paraId="3E8322C6" w14:textId="77777777" w:rsidR="004E2078" w:rsidRDefault="004E2078" w:rsidP="00765850">
          <w:pPr>
            <w:pStyle w:val="Header"/>
          </w:pPr>
        </w:p>
      </w:tc>
      <w:tc>
        <w:tcPr>
          <w:tcW w:w="3225" w:type="dxa"/>
        </w:tcPr>
        <w:p w14:paraId="3E8322C7" w14:textId="77777777" w:rsidR="004E2078" w:rsidRDefault="004E2078" w:rsidP="00765850">
          <w:pPr>
            <w:pStyle w:val="Header"/>
            <w:spacing w:before="60"/>
          </w:pPr>
          <w:r w:rsidRPr="0B50786C">
            <w:rPr>
              <w:rFonts w:ascii="Arial" w:hAnsi="Arial" w:cs="Arial"/>
              <w:sz w:val="24"/>
              <w:szCs w:val="24"/>
            </w:rPr>
            <w:t xml:space="preserve">Meeting date </w:t>
          </w:r>
        </w:p>
      </w:tc>
    </w:tr>
    <w:tr w:rsidR="004E2078" w14:paraId="3E8322CC" w14:textId="77777777" w:rsidTr="005459B7">
      <w:trPr>
        <w:trHeight w:val="450"/>
      </w:trPr>
      <w:tc>
        <w:tcPr>
          <w:tcW w:w="6062" w:type="dxa"/>
          <w:vMerge/>
        </w:tcPr>
        <w:p w14:paraId="3E8322C9" w14:textId="77777777" w:rsidR="004E2078" w:rsidRDefault="004E2078" w:rsidP="00765850">
          <w:pPr>
            <w:pStyle w:val="Header"/>
          </w:pPr>
        </w:p>
      </w:tc>
      <w:tc>
        <w:tcPr>
          <w:tcW w:w="3225" w:type="dxa"/>
        </w:tcPr>
        <w:p w14:paraId="3E8322CA" w14:textId="77777777" w:rsidR="004E2078" w:rsidRDefault="004E2078" w:rsidP="00765850">
          <w:pPr>
            <w:pStyle w:val="Header"/>
            <w:spacing w:before="60"/>
            <w:rPr>
              <w:rFonts w:ascii="Arial" w:hAnsi="Arial" w:cs="Arial"/>
              <w:b/>
              <w:sz w:val="24"/>
              <w:szCs w:val="24"/>
            </w:rPr>
          </w:pPr>
        </w:p>
        <w:p w14:paraId="3E8322CB" w14:textId="77777777" w:rsidR="004E2078" w:rsidRPr="00546D0D" w:rsidRDefault="004E2078"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4E2078" w:rsidRDefault="004E2078"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7C1"/>
    <w:multiLevelType w:val="multilevel"/>
    <w:tmpl w:val="34E83A38"/>
    <w:lvl w:ilvl="0">
      <w:start w:val="25"/>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B2D0C"/>
    <w:multiLevelType w:val="multilevel"/>
    <w:tmpl w:val="E7C4010A"/>
    <w:lvl w:ilvl="0">
      <w:start w:val="4"/>
      <w:numFmt w:val="decimal"/>
      <w:lvlText w:val="%1"/>
      <w:lvlJc w:val="left"/>
      <w:pPr>
        <w:ind w:left="480" w:hanging="480"/>
      </w:pPr>
      <w:rPr>
        <w:rFonts w:eastAsia="Times New Roman" w:hint="default"/>
      </w:rPr>
    </w:lvl>
    <w:lvl w:ilvl="1">
      <w:start w:val="3"/>
      <w:numFmt w:val="decimal"/>
      <w:lvlText w:val="%1.%2"/>
      <w:lvlJc w:val="left"/>
      <w:pPr>
        <w:ind w:left="905" w:hanging="480"/>
      </w:pPr>
      <w:rPr>
        <w:rFonts w:eastAsia="Times New Roman" w:hint="default"/>
      </w:rPr>
    </w:lvl>
    <w:lvl w:ilvl="2">
      <w:start w:val="1"/>
      <w:numFmt w:val="decimal"/>
      <w:lvlText w:val="%1.%2.%3"/>
      <w:lvlJc w:val="left"/>
      <w:pPr>
        <w:ind w:left="1570" w:hanging="720"/>
      </w:pPr>
      <w:rPr>
        <w:rFonts w:eastAsia="Times New Roman" w:hint="default"/>
      </w:rPr>
    </w:lvl>
    <w:lvl w:ilvl="3">
      <w:start w:val="1"/>
      <w:numFmt w:val="decimal"/>
      <w:lvlText w:val="%1.%2.%3.%4"/>
      <w:lvlJc w:val="left"/>
      <w:pPr>
        <w:ind w:left="1995" w:hanging="72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205" w:hanging="1080"/>
      </w:pPr>
      <w:rPr>
        <w:rFonts w:eastAsia="Times New Roman" w:hint="default"/>
      </w:rPr>
    </w:lvl>
    <w:lvl w:ilvl="6">
      <w:start w:val="1"/>
      <w:numFmt w:val="decimal"/>
      <w:lvlText w:val="%1.%2.%3.%4.%5.%6.%7"/>
      <w:lvlJc w:val="left"/>
      <w:pPr>
        <w:ind w:left="3990" w:hanging="1440"/>
      </w:pPr>
      <w:rPr>
        <w:rFonts w:eastAsia="Times New Roman" w:hint="default"/>
      </w:rPr>
    </w:lvl>
    <w:lvl w:ilvl="7">
      <w:start w:val="1"/>
      <w:numFmt w:val="decimal"/>
      <w:lvlText w:val="%1.%2.%3.%4.%5.%6.%7.%8"/>
      <w:lvlJc w:val="left"/>
      <w:pPr>
        <w:ind w:left="4415" w:hanging="1440"/>
      </w:pPr>
      <w:rPr>
        <w:rFonts w:eastAsia="Times New Roman" w:hint="default"/>
      </w:rPr>
    </w:lvl>
    <w:lvl w:ilvl="8">
      <w:start w:val="1"/>
      <w:numFmt w:val="decimal"/>
      <w:lvlText w:val="%1.%2.%3.%4.%5.%6.%7.%8.%9"/>
      <w:lvlJc w:val="left"/>
      <w:pPr>
        <w:ind w:left="5200" w:hanging="1800"/>
      </w:pPr>
      <w:rPr>
        <w:rFonts w:eastAsia="Times New Roman" w:hint="default"/>
      </w:rPr>
    </w:lvl>
  </w:abstractNum>
  <w:abstractNum w:abstractNumId="3" w15:restartNumberingAfterBreak="0">
    <w:nsid w:val="0608022E"/>
    <w:multiLevelType w:val="multilevel"/>
    <w:tmpl w:val="7A92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01785"/>
    <w:multiLevelType w:val="multilevel"/>
    <w:tmpl w:val="177C6C12"/>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EB55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31211D"/>
    <w:multiLevelType w:val="hybridMultilevel"/>
    <w:tmpl w:val="C83059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E20D2"/>
    <w:multiLevelType w:val="hybridMultilevel"/>
    <w:tmpl w:val="C43E1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B83457"/>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C31B9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A263F1"/>
    <w:multiLevelType w:val="hybridMultilevel"/>
    <w:tmpl w:val="DA1044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30742"/>
    <w:multiLevelType w:val="hybridMultilevel"/>
    <w:tmpl w:val="A1665F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38"/>
        </w:tabs>
        <w:ind w:left="938" w:hanging="360"/>
      </w:pPr>
      <w:rPr>
        <w:rFonts w:ascii="Courier New" w:hAnsi="Courier New" w:cs="Courier New" w:hint="default"/>
      </w:rPr>
    </w:lvl>
    <w:lvl w:ilvl="2" w:tplc="08090005">
      <w:start w:val="1"/>
      <w:numFmt w:val="bullet"/>
      <w:lvlText w:val=""/>
      <w:lvlJc w:val="left"/>
      <w:pPr>
        <w:tabs>
          <w:tab w:val="num" w:pos="1658"/>
        </w:tabs>
        <w:ind w:left="1658" w:hanging="360"/>
      </w:pPr>
      <w:rPr>
        <w:rFonts w:ascii="Wingdings" w:hAnsi="Wingdings" w:hint="default"/>
      </w:rPr>
    </w:lvl>
    <w:lvl w:ilvl="3" w:tplc="08090001" w:tentative="1">
      <w:start w:val="1"/>
      <w:numFmt w:val="bullet"/>
      <w:lvlText w:val=""/>
      <w:lvlJc w:val="left"/>
      <w:pPr>
        <w:tabs>
          <w:tab w:val="num" w:pos="2378"/>
        </w:tabs>
        <w:ind w:left="2378" w:hanging="360"/>
      </w:pPr>
      <w:rPr>
        <w:rFonts w:ascii="Symbol" w:hAnsi="Symbol" w:hint="default"/>
      </w:rPr>
    </w:lvl>
    <w:lvl w:ilvl="4" w:tplc="08090003" w:tentative="1">
      <w:start w:val="1"/>
      <w:numFmt w:val="bullet"/>
      <w:lvlText w:val="o"/>
      <w:lvlJc w:val="left"/>
      <w:pPr>
        <w:tabs>
          <w:tab w:val="num" w:pos="3098"/>
        </w:tabs>
        <w:ind w:left="3098" w:hanging="360"/>
      </w:pPr>
      <w:rPr>
        <w:rFonts w:ascii="Courier New" w:hAnsi="Courier New" w:cs="Courier New" w:hint="default"/>
      </w:rPr>
    </w:lvl>
    <w:lvl w:ilvl="5" w:tplc="08090005" w:tentative="1">
      <w:start w:val="1"/>
      <w:numFmt w:val="bullet"/>
      <w:lvlText w:val=""/>
      <w:lvlJc w:val="left"/>
      <w:pPr>
        <w:tabs>
          <w:tab w:val="num" w:pos="3818"/>
        </w:tabs>
        <w:ind w:left="3818" w:hanging="360"/>
      </w:pPr>
      <w:rPr>
        <w:rFonts w:ascii="Wingdings" w:hAnsi="Wingdings" w:hint="default"/>
      </w:rPr>
    </w:lvl>
    <w:lvl w:ilvl="6" w:tplc="08090001" w:tentative="1">
      <w:start w:val="1"/>
      <w:numFmt w:val="bullet"/>
      <w:lvlText w:val=""/>
      <w:lvlJc w:val="left"/>
      <w:pPr>
        <w:tabs>
          <w:tab w:val="num" w:pos="4538"/>
        </w:tabs>
        <w:ind w:left="4538" w:hanging="360"/>
      </w:pPr>
      <w:rPr>
        <w:rFonts w:ascii="Symbol" w:hAnsi="Symbol" w:hint="default"/>
      </w:rPr>
    </w:lvl>
    <w:lvl w:ilvl="7" w:tplc="08090003" w:tentative="1">
      <w:start w:val="1"/>
      <w:numFmt w:val="bullet"/>
      <w:lvlText w:val="o"/>
      <w:lvlJc w:val="left"/>
      <w:pPr>
        <w:tabs>
          <w:tab w:val="num" w:pos="5258"/>
        </w:tabs>
        <w:ind w:left="5258" w:hanging="360"/>
      </w:pPr>
      <w:rPr>
        <w:rFonts w:ascii="Courier New" w:hAnsi="Courier New" w:cs="Courier New" w:hint="default"/>
      </w:rPr>
    </w:lvl>
    <w:lvl w:ilvl="8" w:tplc="08090005" w:tentative="1">
      <w:start w:val="1"/>
      <w:numFmt w:val="bullet"/>
      <w:lvlText w:val=""/>
      <w:lvlJc w:val="left"/>
      <w:pPr>
        <w:tabs>
          <w:tab w:val="num" w:pos="5978"/>
        </w:tabs>
        <w:ind w:left="5978" w:hanging="360"/>
      </w:pPr>
      <w:rPr>
        <w:rFonts w:ascii="Wingdings" w:hAnsi="Wingdings" w:hint="default"/>
      </w:rPr>
    </w:lvl>
  </w:abstractNum>
  <w:abstractNum w:abstractNumId="20"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167F4"/>
    <w:multiLevelType w:val="multilevel"/>
    <w:tmpl w:val="B1769220"/>
    <w:lvl w:ilvl="0">
      <w:start w:val="4"/>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8"/>
  </w:num>
  <w:num w:numId="3">
    <w:abstractNumId w:val="24"/>
  </w:num>
  <w:num w:numId="4">
    <w:abstractNumId w:val="22"/>
  </w:num>
  <w:num w:numId="5">
    <w:abstractNumId w:val="11"/>
  </w:num>
  <w:num w:numId="6">
    <w:abstractNumId w:val="12"/>
  </w:num>
  <w:num w:numId="7">
    <w:abstractNumId w:val="26"/>
  </w:num>
  <w:num w:numId="8">
    <w:abstractNumId w:val="29"/>
  </w:num>
  <w:num w:numId="9">
    <w:abstractNumId w:val="9"/>
  </w:num>
  <w:num w:numId="10">
    <w:abstractNumId w:val="1"/>
  </w:num>
  <w:num w:numId="11">
    <w:abstractNumId w:val="20"/>
  </w:num>
  <w:num w:numId="12">
    <w:abstractNumId w:val="30"/>
  </w:num>
  <w:num w:numId="13">
    <w:abstractNumId w:val="23"/>
  </w:num>
  <w:num w:numId="14">
    <w:abstractNumId w:val="18"/>
  </w:num>
  <w:num w:numId="15">
    <w:abstractNumId w:val="17"/>
  </w:num>
  <w:num w:numId="16">
    <w:abstractNumId w:val="31"/>
  </w:num>
  <w:num w:numId="17">
    <w:abstractNumId w:val="7"/>
  </w:num>
  <w:num w:numId="18">
    <w:abstractNumId w:val="8"/>
  </w:num>
  <w:num w:numId="19">
    <w:abstractNumId w:val="4"/>
  </w:num>
  <w:num w:numId="20">
    <w:abstractNumId w:val="25"/>
  </w:num>
  <w:num w:numId="21">
    <w:abstractNumId w:val="15"/>
  </w:num>
  <w:num w:numId="22">
    <w:abstractNumId w:val="13"/>
  </w:num>
  <w:num w:numId="23">
    <w:abstractNumId w:val="5"/>
  </w:num>
  <w:num w:numId="24">
    <w:abstractNumId w:val="0"/>
  </w:num>
  <w:num w:numId="25">
    <w:abstractNumId w:val="19"/>
  </w:num>
  <w:num w:numId="26">
    <w:abstractNumId w:val="16"/>
  </w:num>
  <w:num w:numId="27">
    <w:abstractNumId w:val="6"/>
  </w:num>
  <w:num w:numId="28">
    <w:abstractNumId w:val="10"/>
  </w:num>
  <w:num w:numId="29">
    <w:abstractNumId w:val="32"/>
  </w:num>
  <w:num w:numId="30">
    <w:abstractNumId w:val="14"/>
  </w:num>
  <w:num w:numId="31">
    <w:abstractNumId w:val="3"/>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0619"/>
    <w:rsid w:val="000111D5"/>
    <w:rsid w:val="00011311"/>
    <w:rsid w:val="00015DB1"/>
    <w:rsid w:val="0001754D"/>
    <w:rsid w:val="00020C26"/>
    <w:rsid w:val="00026B5D"/>
    <w:rsid w:val="00026EF5"/>
    <w:rsid w:val="0002722E"/>
    <w:rsid w:val="00033D53"/>
    <w:rsid w:val="00035A9D"/>
    <w:rsid w:val="00040FC4"/>
    <w:rsid w:val="00044788"/>
    <w:rsid w:val="00045E33"/>
    <w:rsid w:val="00045EA7"/>
    <w:rsid w:val="0004771E"/>
    <w:rsid w:val="00052E14"/>
    <w:rsid w:val="000536B2"/>
    <w:rsid w:val="000547C1"/>
    <w:rsid w:val="00057144"/>
    <w:rsid w:val="000615F9"/>
    <w:rsid w:val="0006430F"/>
    <w:rsid w:val="0006650A"/>
    <w:rsid w:val="000667AB"/>
    <w:rsid w:val="00067747"/>
    <w:rsid w:val="0007043F"/>
    <w:rsid w:val="000711BA"/>
    <w:rsid w:val="00071FCE"/>
    <w:rsid w:val="00072C2E"/>
    <w:rsid w:val="000736D2"/>
    <w:rsid w:val="00080FAF"/>
    <w:rsid w:val="00084A70"/>
    <w:rsid w:val="00087055"/>
    <w:rsid w:val="000904FA"/>
    <w:rsid w:val="0009056D"/>
    <w:rsid w:val="000930BA"/>
    <w:rsid w:val="00095858"/>
    <w:rsid w:val="000A6C09"/>
    <w:rsid w:val="000A7B3B"/>
    <w:rsid w:val="000B161F"/>
    <w:rsid w:val="000B36A3"/>
    <w:rsid w:val="000B6EEF"/>
    <w:rsid w:val="000C09D7"/>
    <w:rsid w:val="000C28B2"/>
    <w:rsid w:val="000C40A3"/>
    <w:rsid w:val="000C7673"/>
    <w:rsid w:val="000D0154"/>
    <w:rsid w:val="000D394B"/>
    <w:rsid w:val="000D7B6D"/>
    <w:rsid w:val="000E0DE9"/>
    <w:rsid w:val="000E3D0C"/>
    <w:rsid w:val="000E65CE"/>
    <w:rsid w:val="000E768B"/>
    <w:rsid w:val="000F0A18"/>
    <w:rsid w:val="000F1763"/>
    <w:rsid w:val="000F1E6D"/>
    <w:rsid w:val="000F3BB1"/>
    <w:rsid w:val="000F4CFD"/>
    <w:rsid w:val="001017F3"/>
    <w:rsid w:val="00102BFA"/>
    <w:rsid w:val="00103F21"/>
    <w:rsid w:val="00105469"/>
    <w:rsid w:val="001054EB"/>
    <w:rsid w:val="00110E60"/>
    <w:rsid w:val="001125B0"/>
    <w:rsid w:val="001140F5"/>
    <w:rsid w:val="00117323"/>
    <w:rsid w:val="0012196B"/>
    <w:rsid w:val="00122698"/>
    <w:rsid w:val="00123DEB"/>
    <w:rsid w:val="00124A4F"/>
    <w:rsid w:val="0013030E"/>
    <w:rsid w:val="001447C2"/>
    <w:rsid w:val="001465B1"/>
    <w:rsid w:val="00163B2B"/>
    <w:rsid w:val="0016436C"/>
    <w:rsid w:val="00167CC4"/>
    <w:rsid w:val="00171294"/>
    <w:rsid w:val="001731AF"/>
    <w:rsid w:val="001734D0"/>
    <w:rsid w:val="0017783C"/>
    <w:rsid w:val="00183FCA"/>
    <w:rsid w:val="00184A63"/>
    <w:rsid w:val="00185D5B"/>
    <w:rsid w:val="00187AE6"/>
    <w:rsid w:val="0019312A"/>
    <w:rsid w:val="00194078"/>
    <w:rsid w:val="001940B6"/>
    <w:rsid w:val="00195DE1"/>
    <w:rsid w:val="001A4541"/>
    <w:rsid w:val="001A5E1F"/>
    <w:rsid w:val="001A695D"/>
    <w:rsid w:val="001B029E"/>
    <w:rsid w:val="001B324E"/>
    <w:rsid w:val="001B36CE"/>
    <w:rsid w:val="001B7024"/>
    <w:rsid w:val="001C0E87"/>
    <w:rsid w:val="001C1154"/>
    <w:rsid w:val="001C2BBC"/>
    <w:rsid w:val="001C3AF2"/>
    <w:rsid w:val="001C5324"/>
    <w:rsid w:val="001D0510"/>
    <w:rsid w:val="001D1A36"/>
    <w:rsid w:val="001D3398"/>
    <w:rsid w:val="001D41E4"/>
    <w:rsid w:val="001D5D2A"/>
    <w:rsid w:val="001D70DE"/>
    <w:rsid w:val="001E2520"/>
    <w:rsid w:val="001E2E36"/>
    <w:rsid w:val="001E3994"/>
    <w:rsid w:val="001E48D5"/>
    <w:rsid w:val="001E720D"/>
    <w:rsid w:val="001F1FF1"/>
    <w:rsid w:val="001F2984"/>
    <w:rsid w:val="001F6C3D"/>
    <w:rsid w:val="001F6C9E"/>
    <w:rsid w:val="00201574"/>
    <w:rsid w:val="0020356D"/>
    <w:rsid w:val="002048CA"/>
    <w:rsid w:val="00207E80"/>
    <w:rsid w:val="002110E9"/>
    <w:rsid w:val="002121A7"/>
    <w:rsid w:val="00215E14"/>
    <w:rsid w:val="0022303A"/>
    <w:rsid w:val="0022312F"/>
    <w:rsid w:val="00226F65"/>
    <w:rsid w:val="00231AF4"/>
    <w:rsid w:val="00233856"/>
    <w:rsid w:val="00237FE5"/>
    <w:rsid w:val="002415E1"/>
    <w:rsid w:val="00241B17"/>
    <w:rsid w:val="00243DF2"/>
    <w:rsid w:val="00245629"/>
    <w:rsid w:val="002460A9"/>
    <w:rsid w:val="00246B48"/>
    <w:rsid w:val="00252295"/>
    <w:rsid w:val="00252432"/>
    <w:rsid w:val="00256711"/>
    <w:rsid w:val="0025763E"/>
    <w:rsid w:val="00262568"/>
    <w:rsid w:val="002634A5"/>
    <w:rsid w:val="002637AF"/>
    <w:rsid w:val="00267118"/>
    <w:rsid w:val="00272225"/>
    <w:rsid w:val="002729D3"/>
    <w:rsid w:val="00274C56"/>
    <w:rsid w:val="00277CE1"/>
    <w:rsid w:val="00280DF7"/>
    <w:rsid w:val="002836B5"/>
    <w:rsid w:val="00285AEF"/>
    <w:rsid w:val="00290D12"/>
    <w:rsid w:val="002917B4"/>
    <w:rsid w:val="00297AC9"/>
    <w:rsid w:val="002A0BB1"/>
    <w:rsid w:val="002A252F"/>
    <w:rsid w:val="002A575E"/>
    <w:rsid w:val="002B0866"/>
    <w:rsid w:val="002B3BAF"/>
    <w:rsid w:val="002B42C7"/>
    <w:rsid w:val="002C5922"/>
    <w:rsid w:val="002C7039"/>
    <w:rsid w:val="002D1196"/>
    <w:rsid w:val="002D12EC"/>
    <w:rsid w:val="002D1672"/>
    <w:rsid w:val="002E2E00"/>
    <w:rsid w:val="002E5F1B"/>
    <w:rsid w:val="002E62E9"/>
    <w:rsid w:val="002E6759"/>
    <w:rsid w:val="002E707A"/>
    <w:rsid w:val="002F090B"/>
    <w:rsid w:val="002F1803"/>
    <w:rsid w:val="002F298F"/>
    <w:rsid w:val="002F385E"/>
    <w:rsid w:val="002F6CDB"/>
    <w:rsid w:val="00302A52"/>
    <w:rsid w:val="00302C8A"/>
    <w:rsid w:val="00307F8D"/>
    <w:rsid w:val="003127D4"/>
    <w:rsid w:val="003138F6"/>
    <w:rsid w:val="003156C1"/>
    <w:rsid w:val="00315711"/>
    <w:rsid w:val="00321982"/>
    <w:rsid w:val="00322431"/>
    <w:rsid w:val="00322D77"/>
    <w:rsid w:val="003253C5"/>
    <w:rsid w:val="00331D2E"/>
    <w:rsid w:val="0033535E"/>
    <w:rsid w:val="00340485"/>
    <w:rsid w:val="00340C6E"/>
    <w:rsid w:val="003458F3"/>
    <w:rsid w:val="00345A6A"/>
    <w:rsid w:val="00350F19"/>
    <w:rsid w:val="00353453"/>
    <w:rsid w:val="0035509D"/>
    <w:rsid w:val="0035643B"/>
    <w:rsid w:val="00357018"/>
    <w:rsid w:val="0035725C"/>
    <w:rsid w:val="003575A3"/>
    <w:rsid w:val="00357639"/>
    <w:rsid w:val="00360B5F"/>
    <w:rsid w:val="00360C2E"/>
    <w:rsid w:val="00361686"/>
    <w:rsid w:val="00363AAD"/>
    <w:rsid w:val="00372173"/>
    <w:rsid w:val="00372524"/>
    <w:rsid w:val="003728BF"/>
    <w:rsid w:val="003736E8"/>
    <w:rsid w:val="003762EC"/>
    <w:rsid w:val="00376E38"/>
    <w:rsid w:val="00377F81"/>
    <w:rsid w:val="003826F4"/>
    <w:rsid w:val="00384D4E"/>
    <w:rsid w:val="00384D53"/>
    <w:rsid w:val="0038643D"/>
    <w:rsid w:val="00392D69"/>
    <w:rsid w:val="00393643"/>
    <w:rsid w:val="00396602"/>
    <w:rsid w:val="00397BC9"/>
    <w:rsid w:val="003A24E7"/>
    <w:rsid w:val="003A6E6B"/>
    <w:rsid w:val="003B05A7"/>
    <w:rsid w:val="003B12B2"/>
    <w:rsid w:val="003B32C9"/>
    <w:rsid w:val="003B5CCB"/>
    <w:rsid w:val="003B5F85"/>
    <w:rsid w:val="003C2EB7"/>
    <w:rsid w:val="003C466D"/>
    <w:rsid w:val="003C58EC"/>
    <w:rsid w:val="003D341C"/>
    <w:rsid w:val="003D3439"/>
    <w:rsid w:val="003D3E95"/>
    <w:rsid w:val="003D6380"/>
    <w:rsid w:val="003E1C04"/>
    <w:rsid w:val="003E20C0"/>
    <w:rsid w:val="003E56D8"/>
    <w:rsid w:val="003F0B99"/>
    <w:rsid w:val="003F1439"/>
    <w:rsid w:val="003F2DBA"/>
    <w:rsid w:val="00403E0B"/>
    <w:rsid w:val="00405CDD"/>
    <w:rsid w:val="00411823"/>
    <w:rsid w:val="00411BCD"/>
    <w:rsid w:val="00411D68"/>
    <w:rsid w:val="004148A2"/>
    <w:rsid w:val="00414E75"/>
    <w:rsid w:val="004151C2"/>
    <w:rsid w:val="00415F53"/>
    <w:rsid w:val="00423D18"/>
    <w:rsid w:val="004363C5"/>
    <w:rsid w:val="00440ED2"/>
    <w:rsid w:val="00447101"/>
    <w:rsid w:val="0045336C"/>
    <w:rsid w:val="004536E8"/>
    <w:rsid w:val="00455B34"/>
    <w:rsid w:val="00455EE4"/>
    <w:rsid w:val="00463758"/>
    <w:rsid w:val="004644FA"/>
    <w:rsid w:val="00464D1C"/>
    <w:rsid w:val="00466C40"/>
    <w:rsid w:val="0046729B"/>
    <w:rsid w:val="0047325D"/>
    <w:rsid w:val="00474EA7"/>
    <w:rsid w:val="00475908"/>
    <w:rsid w:val="00483184"/>
    <w:rsid w:val="00483785"/>
    <w:rsid w:val="004852BA"/>
    <w:rsid w:val="00493B75"/>
    <w:rsid w:val="00493CE2"/>
    <w:rsid w:val="00496427"/>
    <w:rsid w:val="004A0786"/>
    <w:rsid w:val="004A1811"/>
    <w:rsid w:val="004A7598"/>
    <w:rsid w:val="004B1475"/>
    <w:rsid w:val="004B174E"/>
    <w:rsid w:val="004B329B"/>
    <w:rsid w:val="004B3EE3"/>
    <w:rsid w:val="004B4CA9"/>
    <w:rsid w:val="004B6713"/>
    <w:rsid w:val="004C15E8"/>
    <w:rsid w:val="004C1DCF"/>
    <w:rsid w:val="004C3803"/>
    <w:rsid w:val="004D0B91"/>
    <w:rsid w:val="004D24B8"/>
    <w:rsid w:val="004D6820"/>
    <w:rsid w:val="004D7461"/>
    <w:rsid w:val="004E1E86"/>
    <w:rsid w:val="004E2078"/>
    <w:rsid w:val="004F79E3"/>
    <w:rsid w:val="005011AD"/>
    <w:rsid w:val="0050353A"/>
    <w:rsid w:val="00504406"/>
    <w:rsid w:val="00504847"/>
    <w:rsid w:val="005074F3"/>
    <w:rsid w:val="005078B2"/>
    <w:rsid w:val="00515398"/>
    <w:rsid w:val="0051796D"/>
    <w:rsid w:val="00526447"/>
    <w:rsid w:val="0053172D"/>
    <w:rsid w:val="00535FB6"/>
    <w:rsid w:val="0054330F"/>
    <w:rsid w:val="00545055"/>
    <w:rsid w:val="005459B7"/>
    <w:rsid w:val="005465B7"/>
    <w:rsid w:val="00550CB6"/>
    <w:rsid w:val="00550F70"/>
    <w:rsid w:val="00554F76"/>
    <w:rsid w:val="005568B5"/>
    <w:rsid w:val="00557500"/>
    <w:rsid w:val="00562824"/>
    <w:rsid w:val="00563A56"/>
    <w:rsid w:val="00565837"/>
    <w:rsid w:val="00567752"/>
    <w:rsid w:val="005710F5"/>
    <w:rsid w:val="00576216"/>
    <w:rsid w:val="005815A8"/>
    <w:rsid w:val="00583FD2"/>
    <w:rsid w:val="00584A5A"/>
    <w:rsid w:val="00591953"/>
    <w:rsid w:val="0059532E"/>
    <w:rsid w:val="00595E92"/>
    <w:rsid w:val="005965AA"/>
    <w:rsid w:val="005A01EF"/>
    <w:rsid w:val="005A4192"/>
    <w:rsid w:val="005B0D93"/>
    <w:rsid w:val="005B1D81"/>
    <w:rsid w:val="005B3F02"/>
    <w:rsid w:val="005C00A6"/>
    <w:rsid w:val="005C071A"/>
    <w:rsid w:val="005C3CE3"/>
    <w:rsid w:val="005C5997"/>
    <w:rsid w:val="005C630F"/>
    <w:rsid w:val="005C7934"/>
    <w:rsid w:val="005D1FC3"/>
    <w:rsid w:val="005D7E1C"/>
    <w:rsid w:val="005E2667"/>
    <w:rsid w:val="005E3470"/>
    <w:rsid w:val="005E5B9F"/>
    <w:rsid w:val="005E61A4"/>
    <w:rsid w:val="005E7ACC"/>
    <w:rsid w:val="005F126E"/>
    <w:rsid w:val="005F13E6"/>
    <w:rsid w:val="005F3D33"/>
    <w:rsid w:val="005F5C3F"/>
    <w:rsid w:val="005F7B54"/>
    <w:rsid w:val="006025DA"/>
    <w:rsid w:val="00605B0F"/>
    <w:rsid w:val="00611B38"/>
    <w:rsid w:val="00612E8B"/>
    <w:rsid w:val="006130CA"/>
    <w:rsid w:val="00616911"/>
    <w:rsid w:val="00616B56"/>
    <w:rsid w:val="00622354"/>
    <w:rsid w:val="00626EFF"/>
    <w:rsid w:val="00637A45"/>
    <w:rsid w:val="0064210A"/>
    <w:rsid w:val="00643014"/>
    <w:rsid w:val="00643A6D"/>
    <w:rsid w:val="00651B6C"/>
    <w:rsid w:val="00651EE3"/>
    <w:rsid w:val="006539AA"/>
    <w:rsid w:val="0065748B"/>
    <w:rsid w:val="00661D83"/>
    <w:rsid w:val="00675B2B"/>
    <w:rsid w:val="006760A9"/>
    <w:rsid w:val="00682B3A"/>
    <w:rsid w:val="00686998"/>
    <w:rsid w:val="00691E2B"/>
    <w:rsid w:val="00697394"/>
    <w:rsid w:val="006B0135"/>
    <w:rsid w:val="006B5B49"/>
    <w:rsid w:val="006B66B9"/>
    <w:rsid w:val="006C6601"/>
    <w:rsid w:val="006C6C72"/>
    <w:rsid w:val="006D1273"/>
    <w:rsid w:val="006D1560"/>
    <w:rsid w:val="006E0650"/>
    <w:rsid w:val="006E266D"/>
    <w:rsid w:val="006E3CF5"/>
    <w:rsid w:val="006E46D2"/>
    <w:rsid w:val="006E5B51"/>
    <w:rsid w:val="006E63EB"/>
    <w:rsid w:val="006E6488"/>
    <w:rsid w:val="006F26D0"/>
    <w:rsid w:val="006F5A0F"/>
    <w:rsid w:val="006F6DB2"/>
    <w:rsid w:val="006F7400"/>
    <w:rsid w:val="006F79FD"/>
    <w:rsid w:val="00704C09"/>
    <w:rsid w:val="007064C2"/>
    <w:rsid w:val="00706ED4"/>
    <w:rsid w:val="0070766C"/>
    <w:rsid w:val="00707CC5"/>
    <w:rsid w:val="00711811"/>
    <w:rsid w:val="00711FCA"/>
    <w:rsid w:val="00720BE8"/>
    <w:rsid w:val="00721012"/>
    <w:rsid w:val="007210E3"/>
    <w:rsid w:val="00723CBD"/>
    <w:rsid w:val="00727092"/>
    <w:rsid w:val="00730AAC"/>
    <w:rsid w:val="007311DE"/>
    <w:rsid w:val="0073547D"/>
    <w:rsid w:val="0073574F"/>
    <w:rsid w:val="0073658D"/>
    <w:rsid w:val="00736893"/>
    <w:rsid w:val="00741346"/>
    <w:rsid w:val="007462A5"/>
    <w:rsid w:val="00755E29"/>
    <w:rsid w:val="007562C6"/>
    <w:rsid w:val="00756749"/>
    <w:rsid w:val="00760B1A"/>
    <w:rsid w:val="00761D39"/>
    <w:rsid w:val="00765850"/>
    <w:rsid w:val="00766459"/>
    <w:rsid w:val="00771760"/>
    <w:rsid w:val="0077233D"/>
    <w:rsid w:val="00772D46"/>
    <w:rsid w:val="007732B0"/>
    <w:rsid w:val="00775607"/>
    <w:rsid w:val="0077565B"/>
    <w:rsid w:val="00775D27"/>
    <w:rsid w:val="00776298"/>
    <w:rsid w:val="00776798"/>
    <w:rsid w:val="00783743"/>
    <w:rsid w:val="007845F7"/>
    <w:rsid w:val="00784A39"/>
    <w:rsid w:val="00793A69"/>
    <w:rsid w:val="00793AB3"/>
    <w:rsid w:val="00794647"/>
    <w:rsid w:val="00794EDE"/>
    <w:rsid w:val="00797462"/>
    <w:rsid w:val="007977F7"/>
    <w:rsid w:val="007A105B"/>
    <w:rsid w:val="007A1E8F"/>
    <w:rsid w:val="007A30C8"/>
    <w:rsid w:val="007A347D"/>
    <w:rsid w:val="007A3FD3"/>
    <w:rsid w:val="007A6AA2"/>
    <w:rsid w:val="007B237A"/>
    <w:rsid w:val="007B6604"/>
    <w:rsid w:val="007C1506"/>
    <w:rsid w:val="007C5B3E"/>
    <w:rsid w:val="007D056F"/>
    <w:rsid w:val="007D4A06"/>
    <w:rsid w:val="007E26AD"/>
    <w:rsid w:val="007E7613"/>
    <w:rsid w:val="007F127A"/>
    <w:rsid w:val="007F2A5F"/>
    <w:rsid w:val="00800E60"/>
    <w:rsid w:val="00801C74"/>
    <w:rsid w:val="00804543"/>
    <w:rsid w:val="00806D25"/>
    <w:rsid w:val="00815ACE"/>
    <w:rsid w:val="00820FF5"/>
    <w:rsid w:val="0082266F"/>
    <w:rsid w:val="00822B6A"/>
    <w:rsid w:val="00826611"/>
    <w:rsid w:val="00826D51"/>
    <w:rsid w:val="0083371E"/>
    <w:rsid w:val="00834D5B"/>
    <w:rsid w:val="008351C7"/>
    <w:rsid w:val="00841D53"/>
    <w:rsid w:val="0084488E"/>
    <w:rsid w:val="00846078"/>
    <w:rsid w:val="00847C6A"/>
    <w:rsid w:val="00851ED6"/>
    <w:rsid w:val="00856E22"/>
    <w:rsid w:val="00857A36"/>
    <w:rsid w:val="00861001"/>
    <w:rsid w:val="00861D5B"/>
    <w:rsid w:val="00862C98"/>
    <w:rsid w:val="008732E7"/>
    <w:rsid w:val="00886318"/>
    <w:rsid w:val="00891AE9"/>
    <w:rsid w:val="008924D9"/>
    <w:rsid w:val="008928F2"/>
    <w:rsid w:val="00892A81"/>
    <w:rsid w:val="00894030"/>
    <w:rsid w:val="008974A3"/>
    <w:rsid w:val="008974B1"/>
    <w:rsid w:val="008A0BE6"/>
    <w:rsid w:val="008A15AD"/>
    <w:rsid w:val="008A34D6"/>
    <w:rsid w:val="008A4FFB"/>
    <w:rsid w:val="008B1652"/>
    <w:rsid w:val="008B1A03"/>
    <w:rsid w:val="008B3042"/>
    <w:rsid w:val="008B37DA"/>
    <w:rsid w:val="008C0E05"/>
    <w:rsid w:val="008C13A6"/>
    <w:rsid w:val="008C18E0"/>
    <w:rsid w:val="008C191A"/>
    <w:rsid w:val="008C1F9E"/>
    <w:rsid w:val="008C5EF1"/>
    <w:rsid w:val="008C6AD0"/>
    <w:rsid w:val="008D0481"/>
    <w:rsid w:val="008D2A4A"/>
    <w:rsid w:val="008D4B51"/>
    <w:rsid w:val="008D4F7D"/>
    <w:rsid w:val="008E24CB"/>
    <w:rsid w:val="008F13CC"/>
    <w:rsid w:val="008F15C9"/>
    <w:rsid w:val="008F15D9"/>
    <w:rsid w:val="008F40B9"/>
    <w:rsid w:val="0090218D"/>
    <w:rsid w:val="009036BD"/>
    <w:rsid w:val="009051A0"/>
    <w:rsid w:val="00907D6C"/>
    <w:rsid w:val="00910671"/>
    <w:rsid w:val="00910D34"/>
    <w:rsid w:val="00920C5A"/>
    <w:rsid w:val="00922614"/>
    <w:rsid w:val="00925721"/>
    <w:rsid w:val="00931183"/>
    <w:rsid w:val="00931E71"/>
    <w:rsid w:val="009330D3"/>
    <w:rsid w:val="00933875"/>
    <w:rsid w:val="00935031"/>
    <w:rsid w:val="0093598C"/>
    <w:rsid w:val="0094219A"/>
    <w:rsid w:val="00943148"/>
    <w:rsid w:val="009457B3"/>
    <w:rsid w:val="00945E25"/>
    <w:rsid w:val="009462AD"/>
    <w:rsid w:val="0095067D"/>
    <w:rsid w:val="00957880"/>
    <w:rsid w:val="00967417"/>
    <w:rsid w:val="00970E17"/>
    <w:rsid w:val="00972A0D"/>
    <w:rsid w:val="00973971"/>
    <w:rsid w:val="00981B0B"/>
    <w:rsid w:val="0098281E"/>
    <w:rsid w:val="00983960"/>
    <w:rsid w:val="00983AF6"/>
    <w:rsid w:val="00984A11"/>
    <w:rsid w:val="00985781"/>
    <w:rsid w:val="00987354"/>
    <w:rsid w:val="00987DFC"/>
    <w:rsid w:val="00992E96"/>
    <w:rsid w:val="0099544E"/>
    <w:rsid w:val="009A10B0"/>
    <w:rsid w:val="009A38F9"/>
    <w:rsid w:val="009A3EF7"/>
    <w:rsid w:val="009A61B9"/>
    <w:rsid w:val="009B5DD2"/>
    <w:rsid w:val="009C5010"/>
    <w:rsid w:val="009C5037"/>
    <w:rsid w:val="009C5CDB"/>
    <w:rsid w:val="009D1CF8"/>
    <w:rsid w:val="009D21ED"/>
    <w:rsid w:val="009D6471"/>
    <w:rsid w:val="009D64EC"/>
    <w:rsid w:val="009D7B95"/>
    <w:rsid w:val="009E2760"/>
    <w:rsid w:val="009E3119"/>
    <w:rsid w:val="009E561E"/>
    <w:rsid w:val="009E5E81"/>
    <w:rsid w:val="009E63C7"/>
    <w:rsid w:val="009F27EF"/>
    <w:rsid w:val="009F59BF"/>
    <w:rsid w:val="00A010F7"/>
    <w:rsid w:val="00A055A8"/>
    <w:rsid w:val="00A05F72"/>
    <w:rsid w:val="00A15861"/>
    <w:rsid w:val="00A17529"/>
    <w:rsid w:val="00A22E2D"/>
    <w:rsid w:val="00A23341"/>
    <w:rsid w:val="00A236A0"/>
    <w:rsid w:val="00A279DD"/>
    <w:rsid w:val="00A328E4"/>
    <w:rsid w:val="00A334A4"/>
    <w:rsid w:val="00A341D6"/>
    <w:rsid w:val="00A35F73"/>
    <w:rsid w:val="00A40FAF"/>
    <w:rsid w:val="00A44B99"/>
    <w:rsid w:val="00A50517"/>
    <w:rsid w:val="00A569C8"/>
    <w:rsid w:val="00A6013E"/>
    <w:rsid w:val="00A60C1E"/>
    <w:rsid w:val="00A720C7"/>
    <w:rsid w:val="00A7220F"/>
    <w:rsid w:val="00A72D96"/>
    <w:rsid w:val="00A73DF6"/>
    <w:rsid w:val="00A7746B"/>
    <w:rsid w:val="00A9257E"/>
    <w:rsid w:val="00A93789"/>
    <w:rsid w:val="00A93C8F"/>
    <w:rsid w:val="00A947C2"/>
    <w:rsid w:val="00A94B53"/>
    <w:rsid w:val="00A95437"/>
    <w:rsid w:val="00A9638E"/>
    <w:rsid w:val="00AB16FA"/>
    <w:rsid w:val="00AC2D42"/>
    <w:rsid w:val="00AC35D7"/>
    <w:rsid w:val="00AC367C"/>
    <w:rsid w:val="00AC63E8"/>
    <w:rsid w:val="00AC6FD4"/>
    <w:rsid w:val="00AD1143"/>
    <w:rsid w:val="00AD742F"/>
    <w:rsid w:val="00AE2DF9"/>
    <w:rsid w:val="00AF0EF6"/>
    <w:rsid w:val="00AF4113"/>
    <w:rsid w:val="00AF562C"/>
    <w:rsid w:val="00AF7F6D"/>
    <w:rsid w:val="00B01FD3"/>
    <w:rsid w:val="00B055AB"/>
    <w:rsid w:val="00B075D9"/>
    <w:rsid w:val="00B10728"/>
    <w:rsid w:val="00B12198"/>
    <w:rsid w:val="00B14E17"/>
    <w:rsid w:val="00B215F9"/>
    <w:rsid w:val="00B2250E"/>
    <w:rsid w:val="00B229EC"/>
    <w:rsid w:val="00B23DA6"/>
    <w:rsid w:val="00B247EA"/>
    <w:rsid w:val="00B2602F"/>
    <w:rsid w:val="00B26650"/>
    <w:rsid w:val="00B27F61"/>
    <w:rsid w:val="00B31BFF"/>
    <w:rsid w:val="00B4271B"/>
    <w:rsid w:val="00B44A03"/>
    <w:rsid w:val="00B5131B"/>
    <w:rsid w:val="00B57524"/>
    <w:rsid w:val="00B603FE"/>
    <w:rsid w:val="00B61117"/>
    <w:rsid w:val="00B6242A"/>
    <w:rsid w:val="00B67CF7"/>
    <w:rsid w:val="00B73126"/>
    <w:rsid w:val="00B73502"/>
    <w:rsid w:val="00B77B1C"/>
    <w:rsid w:val="00B8491E"/>
    <w:rsid w:val="00B92C12"/>
    <w:rsid w:val="00B93BDE"/>
    <w:rsid w:val="00BA0B9C"/>
    <w:rsid w:val="00BA2BD2"/>
    <w:rsid w:val="00BA447F"/>
    <w:rsid w:val="00BA75E7"/>
    <w:rsid w:val="00BA7EE9"/>
    <w:rsid w:val="00BB1130"/>
    <w:rsid w:val="00BB269E"/>
    <w:rsid w:val="00BB6D93"/>
    <w:rsid w:val="00BB78F7"/>
    <w:rsid w:val="00BC27B6"/>
    <w:rsid w:val="00BC4D97"/>
    <w:rsid w:val="00BD12CF"/>
    <w:rsid w:val="00BD1550"/>
    <w:rsid w:val="00BD1EC5"/>
    <w:rsid w:val="00BD33C0"/>
    <w:rsid w:val="00BD615A"/>
    <w:rsid w:val="00BE0F05"/>
    <w:rsid w:val="00BE13B5"/>
    <w:rsid w:val="00BE3E02"/>
    <w:rsid w:val="00BE58F2"/>
    <w:rsid w:val="00BE64F7"/>
    <w:rsid w:val="00BE65F9"/>
    <w:rsid w:val="00BE7751"/>
    <w:rsid w:val="00BF0960"/>
    <w:rsid w:val="00BF2FDD"/>
    <w:rsid w:val="00BF3975"/>
    <w:rsid w:val="00BF62A4"/>
    <w:rsid w:val="00C0182A"/>
    <w:rsid w:val="00C01CBC"/>
    <w:rsid w:val="00C023EF"/>
    <w:rsid w:val="00C03562"/>
    <w:rsid w:val="00C039A5"/>
    <w:rsid w:val="00C06C62"/>
    <w:rsid w:val="00C07892"/>
    <w:rsid w:val="00C10852"/>
    <w:rsid w:val="00C12DBD"/>
    <w:rsid w:val="00C168E7"/>
    <w:rsid w:val="00C33264"/>
    <w:rsid w:val="00C35E15"/>
    <w:rsid w:val="00C40724"/>
    <w:rsid w:val="00C42CEA"/>
    <w:rsid w:val="00C44A77"/>
    <w:rsid w:val="00C44FD0"/>
    <w:rsid w:val="00C46994"/>
    <w:rsid w:val="00C500FE"/>
    <w:rsid w:val="00C51FA0"/>
    <w:rsid w:val="00C57811"/>
    <w:rsid w:val="00C57F96"/>
    <w:rsid w:val="00C60083"/>
    <w:rsid w:val="00C62550"/>
    <w:rsid w:val="00C67BA9"/>
    <w:rsid w:val="00C81684"/>
    <w:rsid w:val="00C83C08"/>
    <w:rsid w:val="00C93D54"/>
    <w:rsid w:val="00CA0FAF"/>
    <w:rsid w:val="00CA5AD6"/>
    <w:rsid w:val="00CA7C80"/>
    <w:rsid w:val="00CB2292"/>
    <w:rsid w:val="00CB23E6"/>
    <w:rsid w:val="00CB2EDA"/>
    <w:rsid w:val="00CB5A71"/>
    <w:rsid w:val="00CC2D15"/>
    <w:rsid w:val="00CC6641"/>
    <w:rsid w:val="00CD0A6A"/>
    <w:rsid w:val="00CD2762"/>
    <w:rsid w:val="00CE4E4A"/>
    <w:rsid w:val="00CE539F"/>
    <w:rsid w:val="00CF005F"/>
    <w:rsid w:val="00CF43E4"/>
    <w:rsid w:val="00CF4C3D"/>
    <w:rsid w:val="00CF4D40"/>
    <w:rsid w:val="00CF6100"/>
    <w:rsid w:val="00CF618F"/>
    <w:rsid w:val="00D0001F"/>
    <w:rsid w:val="00D011CE"/>
    <w:rsid w:val="00D06D13"/>
    <w:rsid w:val="00D133A1"/>
    <w:rsid w:val="00D146C8"/>
    <w:rsid w:val="00D14D25"/>
    <w:rsid w:val="00D21A72"/>
    <w:rsid w:val="00D226EF"/>
    <w:rsid w:val="00D23603"/>
    <w:rsid w:val="00D238F1"/>
    <w:rsid w:val="00D245B5"/>
    <w:rsid w:val="00D24C8C"/>
    <w:rsid w:val="00D254BE"/>
    <w:rsid w:val="00D30A52"/>
    <w:rsid w:val="00D36C5A"/>
    <w:rsid w:val="00D414E9"/>
    <w:rsid w:val="00D45B4D"/>
    <w:rsid w:val="00D535B5"/>
    <w:rsid w:val="00D53F1B"/>
    <w:rsid w:val="00D540E7"/>
    <w:rsid w:val="00D55295"/>
    <w:rsid w:val="00D55B56"/>
    <w:rsid w:val="00D60DD4"/>
    <w:rsid w:val="00D64A0B"/>
    <w:rsid w:val="00D64ED6"/>
    <w:rsid w:val="00D711A7"/>
    <w:rsid w:val="00D716EF"/>
    <w:rsid w:val="00D74C85"/>
    <w:rsid w:val="00D76393"/>
    <w:rsid w:val="00D7705B"/>
    <w:rsid w:val="00D80F16"/>
    <w:rsid w:val="00D85CF5"/>
    <w:rsid w:val="00D91E1D"/>
    <w:rsid w:val="00D91F4E"/>
    <w:rsid w:val="00D95598"/>
    <w:rsid w:val="00D97C48"/>
    <w:rsid w:val="00DA243D"/>
    <w:rsid w:val="00DA422E"/>
    <w:rsid w:val="00DA479A"/>
    <w:rsid w:val="00DA67CB"/>
    <w:rsid w:val="00DB4B25"/>
    <w:rsid w:val="00DD3064"/>
    <w:rsid w:val="00DE06FF"/>
    <w:rsid w:val="00DE17F5"/>
    <w:rsid w:val="00DE20FF"/>
    <w:rsid w:val="00DE42C0"/>
    <w:rsid w:val="00DE4D99"/>
    <w:rsid w:val="00DF09AF"/>
    <w:rsid w:val="00DF0DB7"/>
    <w:rsid w:val="00DF3089"/>
    <w:rsid w:val="00E00CF4"/>
    <w:rsid w:val="00E00F0D"/>
    <w:rsid w:val="00E02113"/>
    <w:rsid w:val="00E05C84"/>
    <w:rsid w:val="00E06575"/>
    <w:rsid w:val="00E065DB"/>
    <w:rsid w:val="00E0711E"/>
    <w:rsid w:val="00E141C8"/>
    <w:rsid w:val="00E1448D"/>
    <w:rsid w:val="00E1689B"/>
    <w:rsid w:val="00E20742"/>
    <w:rsid w:val="00E26CE4"/>
    <w:rsid w:val="00E4050D"/>
    <w:rsid w:val="00E43C58"/>
    <w:rsid w:val="00E4588F"/>
    <w:rsid w:val="00E53E80"/>
    <w:rsid w:val="00E5572C"/>
    <w:rsid w:val="00E62567"/>
    <w:rsid w:val="00E6275F"/>
    <w:rsid w:val="00E636C6"/>
    <w:rsid w:val="00E636E2"/>
    <w:rsid w:val="00E64002"/>
    <w:rsid w:val="00E643E4"/>
    <w:rsid w:val="00E70827"/>
    <w:rsid w:val="00E71359"/>
    <w:rsid w:val="00E73D2D"/>
    <w:rsid w:val="00E760AB"/>
    <w:rsid w:val="00E76BCF"/>
    <w:rsid w:val="00E76DFD"/>
    <w:rsid w:val="00E77471"/>
    <w:rsid w:val="00E802DF"/>
    <w:rsid w:val="00E8044E"/>
    <w:rsid w:val="00E80A6A"/>
    <w:rsid w:val="00E81B2D"/>
    <w:rsid w:val="00E81C38"/>
    <w:rsid w:val="00E83E99"/>
    <w:rsid w:val="00E914DD"/>
    <w:rsid w:val="00E940E4"/>
    <w:rsid w:val="00E96316"/>
    <w:rsid w:val="00EA15A3"/>
    <w:rsid w:val="00EA5002"/>
    <w:rsid w:val="00EA7309"/>
    <w:rsid w:val="00EB1842"/>
    <w:rsid w:val="00EB1BDF"/>
    <w:rsid w:val="00EB4CFF"/>
    <w:rsid w:val="00EC2F97"/>
    <w:rsid w:val="00EC7ED0"/>
    <w:rsid w:val="00ED14A3"/>
    <w:rsid w:val="00ED4B6E"/>
    <w:rsid w:val="00ED561E"/>
    <w:rsid w:val="00ED5722"/>
    <w:rsid w:val="00ED60BA"/>
    <w:rsid w:val="00EE1EC8"/>
    <w:rsid w:val="00EE6F2A"/>
    <w:rsid w:val="00EF0295"/>
    <w:rsid w:val="00EF6827"/>
    <w:rsid w:val="00F012C0"/>
    <w:rsid w:val="00F015BD"/>
    <w:rsid w:val="00F05643"/>
    <w:rsid w:val="00F11291"/>
    <w:rsid w:val="00F116E9"/>
    <w:rsid w:val="00F11E80"/>
    <w:rsid w:val="00F135BD"/>
    <w:rsid w:val="00F212AE"/>
    <w:rsid w:val="00F246BE"/>
    <w:rsid w:val="00F24B8E"/>
    <w:rsid w:val="00F24BE2"/>
    <w:rsid w:val="00F30975"/>
    <w:rsid w:val="00F32277"/>
    <w:rsid w:val="00F42512"/>
    <w:rsid w:val="00F46CD5"/>
    <w:rsid w:val="00F472E6"/>
    <w:rsid w:val="00F47816"/>
    <w:rsid w:val="00F516D9"/>
    <w:rsid w:val="00F522C7"/>
    <w:rsid w:val="00F53361"/>
    <w:rsid w:val="00F6116C"/>
    <w:rsid w:val="00F67414"/>
    <w:rsid w:val="00F71C80"/>
    <w:rsid w:val="00F748CE"/>
    <w:rsid w:val="00F75F76"/>
    <w:rsid w:val="00F76BC4"/>
    <w:rsid w:val="00F812C4"/>
    <w:rsid w:val="00F82574"/>
    <w:rsid w:val="00F83CAB"/>
    <w:rsid w:val="00F83CEE"/>
    <w:rsid w:val="00F83D41"/>
    <w:rsid w:val="00F84DE7"/>
    <w:rsid w:val="00F8588A"/>
    <w:rsid w:val="00F86193"/>
    <w:rsid w:val="00F86458"/>
    <w:rsid w:val="00F86AD2"/>
    <w:rsid w:val="00F93C12"/>
    <w:rsid w:val="00F965AD"/>
    <w:rsid w:val="00F97757"/>
    <w:rsid w:val="00F97F33"/>
    <w:rsid w:val="00FA06FF"/>
    <w:rsid w:val="00FA0D7C"/>
    <w:rsid w:val="00FA1E79"/>
    <w:rsid w:val="00FA4197"/>
    <w:rsid w:val="00FA4F69"/>
    <w:rsid w:val="00FB09B6"/>
    <w:rsid w:val="00FB1421"/>
    <w:rsid w:val="00FB5BE3"/>
    <w:rsid w:val="00FB68AE"/>
    <w:rsid w:val="00FB6DF1"/>
    <w:rsid w:val="00FC0047"/>
    <w:rsid w:val="00FC251F"/>
    <w:rsid w:val="00FD1AC2"/>
    <w:rsid w:val="00FD304C"/>
    <w:rsid w:val="00FD6AF6"/>
    <w:rsid w:val="00FE1BF3"/>
    <w:rsid w:val="00FF125B"/>
    <w:rsid w:val="00FF29E0"/>
    <w:rsid w:val="00FF3A3E"/>
    <w:rsid w:val="00FF4732"/>
    <w:rsid w:val="00FF49DC"/>
    <w:rsid w:val="0B50786C"/>
    <w:rsid w:val="0DFB400C"/>
    <w:rsid w:val="36696068"/>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eop">
    <w:name w:val="eop"/>
    <w:basedOn w:val="DefaultParagraphFont"/>
    <w:rsid w:val="009D21ED"/>
  </w:style>
  <w:style w:type="paragraph" w:styleId="List2">
    <w:name w:val="List 2"/>
    <w:basedOn w:val="Normal"/>
    <w:uiPriority w:val="99"/>
    <w:unhideWhenUsed/>
    <w:rsid w:val="000C28B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6649">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47055128">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410149929">
      <w:bodyDiv w:val="1"/>
      <w:marLeft w:val="0"/>
      <w:marRight w:val="0"/>
      <w:marTop w:val="0"/>
      <w:marBottom w:val="0"/>
      <w:divBdr>
        <w:top w:val="none" w:sz="0" w:space="0" w:color="auto"/>
        <w:left w:val="none" w:sz="0" w:space="0" w:color="auto"/>
        <w:bottom w:val="none" w:sz="0" w:space="0" w:color="auto"/>
        <w:right w:val="none" w:sz="0" w:space="0" w:color="auto"/>
      </w:divBdr>
      <w:divsChild>
        <w:div w:id="1256551361">
          <w:marLeft w:val="0"/>
          <w:marRight w:val="0"/>
          <w:marTop w:val="0"/>
          <w:marBottom w:val="0"/>
          <w:divBdr>
            <w:top w:val="none" w:sz="0" w:space="0" w:color="auto"/>
            <w:left w:val="none" w:sz="0" w:space="0" w:color="auto"/>
            <w:bottom w:val="none" w:sz="0" w:space="0" w:color="auto"/>
            <w:right w:val="none" w:sz="0" w:space="0" w:color="auto"/>
          </w:divBdr>
          <w:divsChild>
            <w:div w:id="1822765932">
              <w:marLeft w:val="0"/>
              <w:marRight w:val="0"/>
              <w:marTop w:val="0"/>
              <w:marBottom w:val="0"/>
              <w:divBdr>
                <w:top w:val="none" w:sz="0" w:space="0" w:color="auto"/>
                <w:left w:val="none" w:sz="0" w:space="0" w:color="auto"/>
                <w:bottom w:val="none" w:sz="0" w:space="0" w:color="auto"/>
                <w:right w:val="none" w:sz="0" w:space="0" w:color="auto"/>
              </w:divBdr>
              <w:divsChild>
                <w:div w:id="2170221">
                  <w:marLeft w:val="0"/>
                  <w:marRight w:val="0"/>
                  <w:marTop w:val="0"/>
                  <w:marBottom w:val="0"/>
                  <w:divBdr>
                    <w:top w:val="none" w:sz="0" w:space="0" w:color="auto"/>
                    <w:left w:val="none" w:sz="0" w:space="0" w:color="auto"/>
                    <w:bottom w:val="none" w:sz="0" w:space="0" w:color="auto"/>
                    <w:right w:val="none" w:sz="0" w:space="0" w:color="auto"/>
                  </w:divBdr>
                  <w:divsChild>
                    <w:div w:id="1730953307">
                      <w:marLeft w:val="0"/>
                      <w:marRight w:val="0"/>
                      <w:marTop w:val="0"/>
                      <w:marBottom w:val="0"/>
                      <w:divBdr>
                        <w:top w:val="none" w:sz="0" w:space="0" w:color="auto"/>
                        <w:left w:val="none" w:sz="0" w:space="0" w:color="auto"/>
                        <w:bottom w:val="none" w:sz="0" w:space="0" w:color="auto"/>
                        <w:right w:val="none" w:sz="0" w:space="0" w:color="auto"/>
                      </w:divBdr>
                      <w:divsChild>
                        <w:div w:id="1764063850">
                          <w:marLeft w:val="0"/>
                          <w:marRight w:val="0"/>
                          <w:marTop w:val="0"/>
                          <w:marBottom w:val="0"/>
                          <w:divBdr>
                            <w:top w:val="none" w:sz="0" w:space="0" w:color="auto"/>
                            <w:left w:val="none" w:sz="0" w:space="0" w:color="auto"/>
                            <w:bottom w:val="none" w:sz="0" w:space="0" w:color="auto"/>
                            <w:right w:val="none" w:sz="0" w:space="0" w:color="auto"/>
                          </w:divBdr>
                          <w:divsChild>
                            <w:div w:id="1268390746">
                              <w:marLeft w:val="0"/>
                              <w:marRight w:val="0"/>
                              <w:marTop w:val="0"/>
                              <w:marBottom w:val="0"/>
                              <w:divBdr>
                                <w:top w:val="none" w:sz="0" w:space="0" w:color="auto"/>
                                <w:left w:val="none" w:sz="0" w:space="0" w:color="auto"/>
                                <w:bottom w:val="none" w:sz="0" w:space="0" w:color="auto"/>
                                <w:right w:val="none" w:sz="0" w:space="0" w:color="auto"/>
                              </w:divBdr>
                              <w:divsChild>
                                <w:div w:id="1991668653">
                                  <w:marLeft w:val="0"/>
                                  <w:marRight w:val="0"/>
                                  <w:marTop w:val="0"/>
                                  <w:marBottom w:val="0"/>
                                  <w:divBdr>
                                    <w:top w:val="none" w:sz="0" w:space="0" w:color="auto"/>
                                    <w:left w:val="none" w:sz="0" w:space="0" w:color="auto"/>
                                    <w:bottom w:val="none" w:sz="0" w:space="0" w:color="auto"/>
                                    <w:right w:val="none" w:sz="0" w:space="0" w:color="auto"/>
                                  </w:divBdr>
                                  <w:divsChild>
                                    <w:div w:id="1038966977">
                                      <w:marLeft w:val="0"/>
                                      <w:marRight w:val="0"/>
                                      <w:marTop w:val="0"/>
                                      <w:marBottom w:val="0"/>
                                      <w:divBdr>
                                        <w:top w:val="none" w:sz="0" w:space="0" w:color="auto"/>
                                        <w:left w:val="none" w:sz="0" w:space="0" w:color="auto"/>
                                        <w:bottom w:val="none" w:sz="0" w:space="0" w:color="auto"/>
                                        <w:right w:val="none" w:sz="0" w:space="0" w:color="auto"/>
                                      </w:divBdr>
                                      <w:divsChild>
                                        <w:div w:id="409087568">
                                          <w:marLeft w:val="0"/>
                                          <w:marRight w:val="0"/>
                                          <w:marTop w:val="0"/>
                                          <w:marBottom w:val="0"/>
                                          <w:divBdr>
                                            <w:top w:val="none" w:sz="0" w:space="0" w:color="auto"/>
                                            <w:left w:val="none" w:sz="0" w:space="0" w:color="auto"/>
                                            <w:bottom w:val="none" w:sz="0" w:space="0" w:color="auto"/>
                                            <w:right w:val="none" w:sz="0" w:space="0" w:color="auto"/>
                                          </w:divBdr>
                                          <w:divsChild>
                                            <w:div w:id="1141191501">
                                              <w:marLeft w:val="0"/>
                                              <w:marRight w:val="0"/>
                                              <w:marTop w:val="0"/>
                                              <w:marBottom w:val="0"/>
                                              <w:divBdr>
                                                <w:top w:val="none" w:sz="0" w:space="0" w:color="auto"/>
                                                <w:left w:val="none" w:sz="0" w:space="0" w:color="auto"/>
                                                <w:bottom w:val="none" w:sz="0" w:space="0" w:color="auto"/>
                                                <w:right w:val="none" w:sz="0" w:space="0" w:color="auto"/>
                                              </w:divBdr>
                                              <w:divsChild>
                                                <w:div w:id="1136409205">
                                                  <w:marLeft w:val="0"/>
                                                  <w:marRight w:val="0"/>
                                                  <w:marTop w:val="0"/>
                                                  <w:marBottom w:val="0"/>
                                                  <w:divBdr>
                                                    <w:top w:val="none" w:sz="0" w:space="0" w:color="auto"/>
                                                    <w:left w:val="none" w:sz="0" w:space="0" w:color="auto"/>
                                                    <w:bottom w:val="none" w:sz="0" w:space="0" w:color="auto"/>
                                                    <w:right w:val="none" w:sz="0" w:space="0" w:color="auto"/>
                                                  </w:divBdr>
                                                  <w:divsChild>
                                                    <w:div w:id="574170837">
                                                      <w:marLeft w:val="0"/>
                                                      <w:marRight w:val="0"/>
                                                      <w:marTop w:val="0"/>
                                                      <w:marBottom w:val="0"/>
                                                      <w:divBdr>
                                                        <w:top w:val="single" w:sz="12" w:space="0" w:color="ABABAB"/>
                                                        <w:left w:val="single" w:sz="6" w:space="0" w:color="ABABAB"/>
                                                        <w:bottom w:val="none" w:sz="0" w:space="0" w:color="auto"/>
                                                        <w:right w:val="single" w:sz="6" w:space="0" w:color="ABABAB"/>
                                                      </w:divBdr>
                                                      <w:divsChild>
                                                        <w:div w:id="800881800">
                                                          <w:marLeft w:val="0"/>
                                                          <w:marRight w:val="0"/>
                                                          <w:marTop w:val="0"/>
                                                          <w:marBottom w:val="0"/>
                                                          <w:divBdr>
                                                            <w:top w:val="none" w:sz="0" w:space="0" w:color="auto"/>
                                                            <w:left w:val="none" w:sz="0" w:space="0" w:color="auto"/>
                                                            <w:bottom w:val="none" w:sz="0" w:space="0" w:color="auto"/>
                                                            <w:right w:val="none" w:sz="0" w:space="0" w:color="auto"/>
                                                          </w:divBdr>
                                                          <w:divsChild>
                                                            <w:div w:id="1176504268">
                                                              <w:marLeft w:val="0"/>
                                                              <w:marRight w:val="0"/>
                                                              <w:marTop w:val="0"/>
                                                              <w:marBottom w:val="0"/>
                                                              <w:divBdr>
                                                                <w:top w:val="none" w:sz="0" w:space="0" w:color="auto"/>
                                                                <w:left w:val="none" w:sz="0" w:space="0" w:color="auto"/>
                                                                <w:bottom w:val="none" w:sz="0" w:space="0" w:color="auto"/>
                                                                <w:right w:val="none" w:sz="0" w:space="0" w:color="auto"/>
                                                              </w:divBdr>
                                                              <w:divsChild>
                                                                <w:div w:id="1855348">
                                                                  <w:marLeft w:val="0"/>
                                                                  <w:marRight w:val="0"/>
                                                                  <w:marTop w:val="0"/>
                                                                  <w:marBottom w:val="0"/>
                                                                  <w:divBdr>
                                                                    <w:top w:val="none" w:sz="0" w:space="0" w:color="auto"/>
                                                                    <w:left w:val="none" w:sz="0" w:space="0" w:color="auto"/>
                                                                    <w:bottom w:val="none" w:sz="0" w:space="0" w:color="auto"/>
                                                                    <w:right w:val="none" w:sz="0" w:space="0" w:color="auto"/>
                                                                  </w:divBdr>
                                                                  <w:divsChild>
                                                                    <w:div w:id="969091185">
                                                                      <w:marLeft w:val="0"/>
                                                                      <w:marRight w:val="0"/>
                                                                      <w:marTop w:val="0"/>
                                                                      <w:marBottom w:val="0"/>
                                                                      <w:divBdr>
                                                                        <w:top w:val="none" w:sz="0" w:space="0" w:color="auto"/>
                                                                        <w:left w:val="none" w:sz="0" w:space="0" w:color="auto"/>
                                                                        <w:bottom w:val="none" w:sz="0" w:space="0" w:color="auto"/>
                                                                        <w:right w:val="none" w:sz="0" w:space="0" w:color="auto"/>
                                                                      </w:divBdr>
                                                                      <w:divsChild>
                                                                        <w:div w:id="765737759">
                                                                          <w:marLeft w:val="0"/>
                                                                          <w:marRight w:val="0"/>
                                                                          <w:marTop w:val="0"/>
                                                                          <w:marBottom w:val="0"/>
                                                                          <w:divBdr>
                                                                            <w:top w:val="none" w:sz="0" w:space="0" w:color="auto"/>
                                                                            <w:left w:val="none" w:sz="0" w:space="0" w:color="auto"/>
                                                                            <w:bottom w:val="none" w:sz="0" w:space="0" w:color="auto"/>
                                                                            <w:right w:val="none" w:sz="0" w:space="0" w:color="auto"/>
                                                                          </w:divBdr>
                                                                          <w:divsChild>
                                                                            <w:div w:id="19954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3495">
      <w:bodyDiv w:val="1"/>
      <w:marLeft w:val="0"/>
      <w:marRight w:val="0"/>
      <w:marTop w:val="0"/>
      <w:marBottom w:val="0"/>
      <w:divBdr>
        <w:top w:val="none" w:sz="0" w:space="0" w:color="auto"/>
        <w:left w:val="none" w:sz="0" w:space="0" w:color="auto"/>
        <w:bottom w:val="none" w:sz="0" w:space="0" w:color="auto"/>
        <w:right w:val="none" w:sz="0" w:space="0" w:color="auto"/>
      </w:divBdr>
    </w:div>
    <w:div w:id="1515850502">
      <w:bodyDiv w:val="1"/>
      <w:marLeft w:val="0"/>
      <w:marRight w:val="0"/>
      <w:marTop w:val="0"/>
      <w:marBottom w:val="0"/>
      <w:divBdr>
        <w:top w:val="none" w:sz="0" w:space="0" w:color="auto"/>
        <w:left w:val="none" w:sz="0" w:space="0" w:color="auto"/>
        <w:bottom w:val="none" w:sz="0" w:space="0" w:color="auto"/>
        <w:right w:val="none" w:sz="0" w:space="0" w:color="auto"/>
      </w:divBdr>
      <w:divsChild>
        <w:div w:id="1288076706">
          <w:marLeft w:val="0"/>
          <w:marRight w:val="0"/>
          <w:marTop w:val="0"/>
          <w:marBottom w:val="0"/>
          <w:divBdr>
            <w:top w:val="none" w:sz="0" w:space="0" w:color="auto"/>
            <w:left w:val="none" w:sz="0" w:space="0" w:color="auto"/>
            <w:bottom w:val="none" w:sz="0" w:space="0" w:color="auto"/>
            <w:right w:val="none" w:sz="0" w:space="0" w:color="auto"/>
          </w:divBdr>
          <w:divsChild>
            <w:div w:id="1678846684">
              <w:marLeft w:val="0"/>
              <w:marRight w:val="0"/>
              <w:marTop w:val="0"/>
              <w:marBottom w:val="0"/>
              <w:divBdr>
                <w:top w:val="none" w:sz="0" w:space="0" w:color="auto"/>
                <w:left w:val="none" w:sz="0" w:space="0" w:color="auto"/>
                <w:bottom w:val="none" w:sz="0" w:space="0" w:color="auto"/>
                <w:right w:val="none" w:sz="0" w:space="0" w:color="auto"/>
              </w:divBdr>
              <w:divsChild>
                <w:div w:id="1535533472">
                  <w:marLeft w:val="150"/>
                  <w:marRight w:val="0"/>
                  <w:marTop w:val="0"/>
                  <w:marBottom w:val="0"/>
                  <w:divBdr>
                    <w:top w:val="none" w:sz="0" w:space="0" w:color="auto"/>
                    <w:left w:val="none" w:sz="0" w:space="0" w:color="auto"/>
                    <w:bottom w:val="none" w:sz="0" w:space="0" w:color="auto"/>
                    <w:right w:val="none" w:sz="0" w:space="0" w:color="auto"/>
                  </w:divBdr>
                  <w:divsChild>
                    <w:div w:id="464350888">
                      <w:marLeft w:val="0"/>
                      <w:marRight w:val="0"/>
                      <w:marTop w:val="0"/>
                      <w:marBottom w:val="0"/>
                      <w:divBdr>
                        <w:top w:val="none" w:sz="0" w:space="0" w:color="auto"/>
                        <w:left w:val="none" w:sz="0" w:space="0" w:color="auto"/>
                        <w:bottom w:val="none" w:sz="0" w:space="0" w:color="auto"/>
                        <w:right w:val="none" w:sz="0" w:space="0" w:color="auto"/>
                      </w:divBdr>
                      <w:divsChild>
                        <w:div w:id="19396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533438">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parliament/briefings-and-responses/motion-relating-local-government-finance-report-201920-house" TargetMode="External"/><Relationship Id="rId26" Type="http://schemas.openxmlformats.org/officeDocument/2006/relationships/hyperlink" Target="https://www.parliament.uk/business/committees/committees-a-z/commons-select/treasury-committee/inquiries1/parliament-2017/inquiry3/" TargetMode="External"/><Relationship Id="rId39" Type="http://schemas.openxmlformats.org/officeDocument/2006/relationships/hyperlink" Target="https://www.local.gov.uk/fair-funding-review-modelling-tools" TargetMode="External"/><Relationship Id="rId3" Type="http://schemas.openxmlformats.org/officeDocument/2006/relationships/customXml" Target="../customXml/item3.xml"/><Relationship Id="rId21" Type="http://schemas.openxmlformats.org/officeDocument/2006/relationships/hyperlink" Target="https://www.local.gov.uk/topics/finance-and-business-rates/business-rates-retention/consultation-responses-and-other-items" TargetMode="External"/><Relationship Id="rId34" Type="http://schemas.openxmlformats.org/officeDocument/2006/relationships/hyperlink" Target="https://consult.justice.gov.uk/digital-communications/review-of-enforcement-agent-bailiff-reform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parliament/briefings-and-responses/201920-provisional-local-government-finance-settlement-response" TargetMode="External"/><Relationship Id="rId25" Type="http://schemas.openxmlformats.org/officeDocument/2006/relationships/hyperlink" Target="https://www.local.gov.uk/spending-review-2019" TargetMode="External"/><Relationship Id="rId33" Type="http://schemas.openxmlformats.org/officeDocument/2006/relationships/hyperlink" Target="https://www.local.gov.uk/topics/finance-and-business-rates/other-issues-local-government-finance" TargetMode="External"/><Relationship Id="rId38" Type="http://schemas.openxmlformats.org/officeDocument/2006/relationships/hyperlink" Target="https://www.local.gov.uk/fair-funding-review-modelling-tools"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provisional-local-government-finance-settlement-201920-day" TargetMode="External"/><Relationship Id="rId20" Type="http://schemas.openxmlformats.org/officeDocument/2006/relationships/hyperlink" Target="https://www.gov.uk/government/consultations/review-of-local-authorities-relative-needs-and-resources?utm_source=b8314d99-0434-4782-b68f-b0325166b085&amp;utm_medium=email&amp;utm_campaign=govuk-notifications&amp;utm_content=immediate" TargetMode="External"/><Relationship Id="rId29" Type="http://schemas.openxmlformats.org/officeDocument/2006/relationships/hyperlink" Target="https://publications.parliament.uk/pa/cm201719/cmselect/cmpubacc/1775/177502.htm" TargetMode="External"/><Relationship Id="rId41" Type="http://schemas.openxmlformats.org/officeDocument/2006/relationships/hyperlink" Target="https://www.local.gov.uk/business-rates-retention-mod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24" Type="http://schemas.openxmlformats.org/officeDocument/2006/relationships/hyperlink" Target="https://www.local.gov.uk/business-rates-retention-model" TargetMode="External"/><Relationship Id="rId32" Type="http://schemas.openxmlformats.org/officeDocument/2006/relationships/hyperlink" Target="https://www.psaa.co.uk/wp-content/uploads/2018/10/2019-20-scale-fees-consultation-document-PDF.pdf" TargetMode="External"/><Relationship Id="rId37" Type="http://schemas.openxmlformats.org/officeDocument/2006/relationships/hyperlink" Target="https://www.local.gov.uk/sites/default/files/documents/Divergence%20of%20relative%20needs%20over%20time%20%28NR%20TWG%2018%2009%29.pdf" TargetMode="External"/><Relationship Id="rId40" Type="http://schemas.openxmlformats.org/officeDocument/2006/relationships/hyperlink" Target="https://www.local.gov.uk/fair-funding-review-modelling-tools" TargetMode="Externa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local.gov.uk/about/news/response-local-government-finance-settlement" TargetMode="External"/><Relationship Id="rId23" Type="http://schemas.openxmlformats.org/officeDocument/2006/relationships/hyperlink" Target="https://www.local.gov.uk/topics/finance-and-business-rates/business-rates-retention/consultation-responses-and-other-items" TargetMode="External"/><Relationship Id="rId28" Type="http://schemas.openxmlformats.org/officeDocument/2006/relationships/hyperlink" Target="https://www.local.gov.uk/sites/default/files/documents/Consultation%20on%20the%20Business%20Rates%20Treatment%20of%20Self-Catering%20Accommodation.pdf" TargetMode="External"/><Relationship Id="rId36" Type="http://schemas.openxmlformats.org/officeDocument/2006/relationships/hyperlink" Target="https://www.local.gov.uk/sites/default/files/documents/Criteria%20for%20evaluating%20fair%20funding%20review%20proposals%20%28NR%20TWG%2018%2010%29.pdf" TargetMode="External"/><Relationship Id="rId10" Type="http://schemas.openxmlformats.org/officeDocument/2006/relationships/endnotes" Target="endnotes.xml"/><Relationship Id="rId19" Type="http://schemas.openxmlformats.org/officeDocument/2006/relationships/hyperlink" Target="https://www.local.gov.uk/parliament/briefings-and-responses/201920-provisional-local-government-finance-settlement-response" TargetMode="External"/><Relationship Id="rId31" Type="http://schemas.openxmlformats.org/officeDocument/2006/relationships/hyperlink" Target="https://www.local.gov.uk/parliament/briefings-and-responses/response-consultation-201920-scale-au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consultations/business-rates-retention-reform" TargetMode="External"/><Relationship Id="rId27" Type="http://schemas.openxmlformats.org/officeDocument/2006/relationships/hyperlink" Target="https://www.gov.uk/government/consultations/business-rates-treatment-of-self-catering-accommodation" TargetMode="External"/><Relationship Id="rId30" Type="http://schemas.openxmlformats.org/officeDocument/2006/relationships/hyperlink" Target="https://www.gov.uk/government/publications/sharing-agreements-for-billing-authorities" TargetMode="External"/><Relationship Id="rId35" Type="http://schemas.openxmlformats.org/officeDocument/2006/relationships/hyperlink" Target="https://www.citizensadvice.org.uk/Global/CitizensAdvice/campaigns/Council%20Tax/Citizens%20Advice%20Council%20Tax%20Protocol%202017.pdf"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33320922-3aa3-40cb-b26e-1bfebf933094"/>
    <ds:schemaRef ds:uri="http://purl.org/dc/terms/"/>
    <ds:schemaRef ds:uri="http://www.w3.org/XML/1998/namespace"/>
    <ds:schemaRef ds:uri="http://schemas.openxmlformats.org/package/2006/metadata/core-properties"/>
    <ds:schemaRef ds:uri="846c3db3-041b-47fd-b02b-1debea70191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74A2912D-A554-4D08-B320-D83FF7CF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E0F9A-FC16-4CC1-A62A-0D0939AB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A32B5291</Template>
  <TotalTime>26</TotalTime>
  <Pages>12</Pages>
  <Words>3991</Words>
  <Characters>22753</Characters>
  <Application>Microsoft Office Word</Application>
  <DocSecurity>0</DocSecurity>
  <Lines>189</Lines>
  <Paragraphs>53</Paragraphs>
  <ScaleCrop>false</ScaleCrop>
  <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121</cp:revision>
  <cp:lastPrinted>2018-08-24T09:55:00Z</cp:lastPrinted>
  <dcterms:created xsi:type="dcterms:W3CDTF">2019-02-06T17:43:00Z</dcterms:created>
  <dcterms:modified xsi:type="dcterms:W3CDTF">2019-02-20T12:14:00Z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y fmtid="{D5CDD505-2E9C-101B-9397-08002B2CF9AE}" pid="5" name="AuthorIds_UIVersion_1024">
    <vt:lpwstr>85</vt:lpwstr>
  </property>
</Properties>
</file>